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769" w:rsidRPr="00D91EE9" w:rsidRDefault="0003057A" w:rsidP="00931769">
      <w:pPr>
        <w:spacing w:line="240" w:lineRule="auto"/>
        <w:jc w:val="center"/>
        <w:rPr>
          <w:rFonts w:asciiTheme="majorHAnsi" w:eastAsia="Calibri" w:hAnsiTheme="majorHAnsi" w:cs="Times New Roman"/>
          <w:b/>
          <w:sz w:val="28"/>
          <w:szCs w:val="28"/>
          <w:u w:val="single"/>
        </w:rPr>
      </w:pPr>
      <w:r>
        <w:rPr>
          <w:rFonts w:asciiTheme="majorHAnsi" w:eastAsia="Calibri" w:hAnsiTheme="majorHAnsi" w:cs="Times New Roman"/>
          <w:b/>
          <w:sz w:val="28"/>
          <w:szCs w:val="28"/>
          <w:u w:val="single"/>
        </w:rPr>
        <w:t>2018</w:t>
      </w:r>
      <w:r w:rsidR="006726DD">
        <w:rPr>
          <w:rFonts w:asciiTheme="majorHAnsi" w:eastAsia="Calibri" w:hAnsiTheme="majorHAnsi" w:cs="Times New Roman"/>
          <w:b/>
          <w:sz w:val="28"/>
          <w:szCs w:val="28"/>
          <w:u w:val="single"/>
        </w:rPr>
        <w:t>- 201</w:t>
      </w:r>
      <w:r>
        <w:rPr>
          <w:rFonts w:asciiTheme="majorHAnsi" w:eastAsia="Calibri" w:hAnsiTheme="majorHAnsi" w:cs="Times New Roman"/>
          <w:b/>
          <w:sz w:val="28"/>
          <w:szCs w:val="28"/>
          <w:u w:val="single"/>
        </w:rPr>
        <w:t>9</w:t>
      </w:r>
      <w:r w:rsidR="006726DD">
        <w:rPr>
          <w:rFonts w:asciiTheme="majorHAnsi" w:eastAsia="Calibri" w:hAnsiTheme="majorHAnsi" w:cs="Times New Roman"/>
          <w:b/>
          <w:sz w:val="28"/>
          <w:szCs w:val="28"/>
          <w:u w:val="single"/>
        </w:rPr>
        <w:t xml:space="preserve"> </w:t>
      </w:r>
      <w:r w:rsidR="00931769" w:rsidRPr="00D91EE9">
        <w:rPr>
          <w:rFonts w:asciiTheme="majorHAnsi" w:eastAsia="Calibri" w:hAnsiTheme="majorHAnsi" w:cs="Times New Roman"/>
          <w:b/>
          <w:sz w:val="28"/>
          <w:szCs w:val="28"/>
          <w:u w:val="single"/>
        </w:rPr>
        <w:t xml:space="preserve">Advanced Placement United State History </w:t>
      </w:r>
    </w:p>
    <w:p w:rsidR="00D11892" w:rsidRDefault="00D11892" w:rsidP="00931769">
      <w:pPr>
        <w:spacing w:line="240" w:lineRule="auto"/>
        <w:jc w:val="center"/>
        <w:rPr>
          <w:rFonts w:asciiTheme="majorHAnsi" w:eastAsia="Calibri" w:hAnsiTheme="majorHAnsi" w:cs="Times New Roman"/>
          <w:b/>
          <w:sz w:val="28"/>
          <w:szCs w:val="28"/>
        </w:rPr>
      </w:pPr>
      <w:r>
        <w:rPr>
          <w:rFonts w:asciiTheme="majorHAnsi" w:eastAsia="Calibri" w:hAnsiTheme="majorHAnsi" w:cs="Times New Roman"/>
          <w:b/>
          <w:sz w:val="28"/>
          <w:szCs w:val="28"/>
        </w:rPr>
        <w:t>David Goode</w:t>
      </w:r>
    </w:p>
    <w:p w:rsidR="00931769" w:rsidRPr="00D91EE9" w:rsidRDefault="00CA2F5E" w:rsidP="00931769">
      <w:pPr>
        <w:spacing w:line="240" w:lineRule="auto"/>
        <w:jc w:val="center"/>
        <w:rPr>
          <w:rFonts w:asciiTheme="majorHAnsi" w:eastAsia="Calibri" w:hAnsiTheme="majorHAnsi" w:cs="Times New Roman"/>
          <w:b/>
          <w:sz w:val="28"/>
          <w:szCs w:val="28"/>
        </w:rPr>
      </w:pPr>
      <w:r>
        <w:rPr>
          <w:rFonts w:asciiTheme="majorHAnsi" w:eastAsia="Calibri" w:hAnsiTheme="majorHAnsi" w:cs="Times New Roman"/>
          <w:b/>
          <w:sz w:val="28"/>
          <w:szCs w:val="28"/>
        </w:rPr>
        <w:t>Room 2</w:t>
      </w:r>
      <w:r w:rsidR="00D11892">
        <w:rPr>
          <w:rFonts w:asciiTheme="majorHAnsi" w:eastAsia="Calibri" w:hAnsiTheme="majorHAnsi" w:cs="Times New Roman"/>
          <w:b/>
          <w:sz w:val="28"/>
          <w:szCs w:val="28"/>
        </w:rPr>
        <w:t>6</w:t>
      </w:r>
    </w:p>
    <w:p w:rsidR="00931769" w:rsidRPr="00D91EE9" w:rsidRDefault="00931769" w:rsidP="00931769">
      <w:pPr>
        <w:spacing w:line="240" w:lineRule="auto"/>
        <w:jc w:val="center"/>
        <w:rPr>
          <w:rFonts w:asciiTheme="majorHAnsi" w:eastAsia="Calibri" w:hAnsiTheme="majorHAnsi" w:cs="Times New Roman"/>
          <w:b/>
          <w:sz w:val="28"/>
          <w:szCs w:val="28"/>
        </w:rPr>
      </w:pPr>
      <w:r w:rsidRPr="00D91EE9">
        <w:rPr>
          <w:rFonts w:asciiTheme="majorHAnsi" w:eastAsia="Calibri" w:hAnsiTheme="majorHAnsi" w:cs="Times New Roman"/>
          <w:b/>
          <w:sz w:val="28"/>
          <w:szCs w:val="28"/>
        </w:rPr>
        <w:t>Office Hours: Every Morning from 7:30 a.m. – 8:20 a.m.</w:t>
      </w:r>
    </w:p>
    <w:p w:rsidR="00931769" w:rsidRDefault="00931769" w:rsidP="00D11892">
      <w:pPr>
        <w:spacing w:line="240" w:lineRule="auto"/>
        <w:jc w:val="center"/>
        <w:rPr>
          <w:rFonts w:asciiTheme="majorHAnsi" w:eastAsia="Calibri" w:hAnsiTheme="majorHAnsi" w:cs="Times New Roman"/>
          <w:b/>
          <w:sz w:val="28"/>
          <w:szCs w:val="28"/>
        </w:rPr>
      </w:pPr>
      <w:r w:rsidRPr="00D91EE9">
        <w:rPr>
          <w:rFonts w:asciiTheme="majorHAnsi" w:eastAsia="Calibri" w:hAnsiTheme="majorHAnsi" w:cs="Times New Roman"/>
          <w:b/>
          <w:sz w:val="28"/>
          <w:szCs w:val="28"/>
        </w:rPr>
        <w:t xml:space="preserve">Email: </w:t>
      </w:r>
      <w:hyperlink r:id="rId5" w:history="1">
        <w:r w:rsidR="00D11892" w:rsidRPr="00454998">
          <w:rPr>
            <w:rStyle w:val="Hyperlink"/>
            <w:rFonts w:asciiTheme="majorHAnsi" w:eastAsia="Calibri" w:hAnsiTheme="majorHAnsi" w:cs="Times New Roman"/>
            <w:b/>
            <w:sz w:val="28"/>
            <w:szCs w:val="28"/>
          </w:rPr>
          <w:t>gooded1@duvalschools.org</w:t>
        </w:r>
      </w:hyperlink>
    </w:p>
    <w:p w:rsidR="00D11892" w:rsidRDefault="00D11892" w:rsidP="00D11892">
      <w:pPr>
        <w:spacing w:line="240" w:lineRule="auto"/>
        <w:jc w:val="center"/>
        <w:rPr>
          <w:b/>
          <w:u w:val="single"/>
        </w:rPr>
      </w:pPr>
    </w:p>
    <w:p w:rsidR="00931769" w:rsidRDefault="00931769" w:rsidP="00931769">
      <w:pPr>
        <w:rPr>
          <w:b/>
          <w:u w:val="single"/>
        </w:rPr>
      </w:pPr>
      <w:r w:rsidRPr="00D50913">
        <w:rPr>
          <w:b/>
          <w:u w:val="single"/>
        </w:rPr>
        <w:t>Course Description</w:t>
      </w:r>
    </w:p>
    <w:p w:rsidR="00931769" w:rsidRDefault="00931769" w:rsidP="00931769">
      <w:r w:rsidRPr="00D50913">
        <w:rPr>
          <w:color w:val="000000"/>
        </w:rPr>
        <w:t xml:space="preserve">AP® U.S. History is a challenging course that </w:t>
      </w:r>
      <w:proofErr w:type="gramStart"/>
      <w:r w:rsidRPr="00D50913">
        <w:rPr>
          <w:color w:val="000000"/>
        </w:rPr>
        <w:t>is meant</w:t>
      </w:r>
      <w:proofErr w:type="gramEnd"/>
      <w:r w:rsidRPr="00D50913">
        <w:rPr>
          <w:color w:val="000000"/>
        </w:rPr>
        <w:t xml:space="preserve"> to be the equivalent of a freshman college course and can earn students college credit. It is a two-semester survey of American history from the</w:t>
      </w:r>
      <w:r w:rsidRPr="00D50913">
        <w:t xml:space="preserve"> Pre-Columbian period</w:t>
      </w:r>
      <w:r w:rsidRPr="00D50913">
        <w:rPr>
          <w:color w:val="000000"/>
        </w:rPr>
        <w:t xml:space="preserve"> to the pres</w:t>
      </w:r>
      <w:r w:rsidRPr="00D50913">
        <w:rPr>
          <w:color w:val="000000"/>
        </w:rPr>
        <w:softHyphen/>
        <w:t>ent. Solid reading and writing skills, along with a willingness to devote consider</w:t>
      </w:r>
      <w:r w:rsidRPr="00D50913">
        <w:rPr>
          <w:color w:val="000000"/>
        </w:rPr>
        <w:softHyphen/>
        <w:t xml:space="preserve">able time to homework and study, are necessary to succeed. Emphasis is placed on critical and evaluative thinking skills, essay writing, interpretation of original documents, and historiography.  </w:t>
      </w:r>
      <w:r w:rsidRPr="00D50913">
        <w:t xml:space="preserve">The class </w:t>
      </w:r>
      <w:proofErr w:type="gramStart"/>
      <w:r w:rsidRPr="00D50913">
        <w:t>is taught</w:t>
      </w:r>
      <w:proofErr w:type="gramEnd"/>
      <w:r w:rsidRPr="00D50913">
        <w:t xml:space="preserve"> in accordance with the AP U.S. History curriculum framework, and is designed to prepare students for the AP U.S. History Exam in May.</w:t>
      </w:r>
    </w:p>
    <w:p w:rsidR="00F77F9E" w:rsidRDefault="00F77F9E" w:rsidP="00931769">
      <w:r w:rsidRPr="00F77F9E">
        <w:rPr>
          <w:b/>
          <w:u w:val="single"/>
        </w:rPr>
        <w:t>APUSH Website</w:t>
      </w:r>
      <w:r>
        <w:t xml:space="preserve"> – daapush.weebly.com</w:t>
      </w:r>
    </w:p>
    <w:p w:rsidR="00F77F9E" w:rsidRPr="00F77F9E" w:rsidRDefault="00F77F9E" w:rsidP="00931769">
      <w:r>
        <w:t xml:space="preserve">To reduce paper needs, the majority of our in-class resources </w:t>
      </w:r>
      <w:proofErr w:type="gramStart"/>
      <w:r>
        <w:t>will be accessed</w:t>
      </w:r>
      <w:proofErr w:type="gramEnd"/>
      <w:r>
        <w:t xml:space="preserve"> online. Additionally, these resources, assignments, PowerPoints and links to APUSH review sites </w:t>
      </w:r>
      <w:proofErr w:type="gramStart"/>
      <w:r>
        <w:t>can be accessed</w:t>
      </w:r>
      <w:proofErr w:type="gramEnd"/>
      <w:r>
        <w:t xml:space="preserve"> at the DA APUSH website above.</w:t>
      </w:r>
    </w:p>
    <w:p w:rsidR="00931769" w:rsidRDefault="00931769" w:rsidP="00931769">
      <w:pPr>
        <w:rPr>
          <w:b/>
          <w:color w:val="000000"/>
          <w:u w:val="single"/>
        </w:rPr>
      </w:pPr>
      <w:r w:rsidRPr="00284B58">
        <w:rPr>
          <w:b/>
          <w:color w:val="000000"/>
          <w:u w:val="single"/>
        </w:rPr>
        <w:t>Course Objectives</w:t>
      </w:r>
    </w:p>
    <w:p w:rsidR="00931769" w:rsidRPr="007B3F2F" w:rsidRDefault="00931769" w:rsidP="00931769">
      <w:pPr>
        <w:autoSpaceDE w:val="0"/>
        <w:autoSpaceDN w:val="0"/>
        <w:adjustRightInd w:val="0"/>
        <w:spacing w:before="180" w:after="0" w:line="221" w:lineRule="atLeast"/>
        <w:jc w:val="both"/>
        <w:rPr>
          <w:rFonts w:eastAsia="Times New Roman" w:cs="Times New Roman"/>
          <w:color w:val="000000"/>
          <w:sz w:val="24"/>
          <w:szCs w:val="24"/>
        </w:rPr>
      </w:pPr>
      <w:r w:rsidRPr="007B3F2F">
        <w:rPr>
          <w:rFonts w:eastAsia="Times New Roman" w:cs="Times New Roman"/>
          <w:color w:val="000000"/>
          <w:sz w:val="24"/>
          <w:szCs w:val="24"/>
        </w:rPr>
        <w:t xml:space="preserve">Students will: </w:t>
      </w:r>
    </w:p>
    <w:p w:rsidR="00931769" w:rsidRPr="007B3F2F" w:rsidRDefault="00931769" w:rsidP="00931769">
      <w:pPr>
        <w:numPr>
          <w:ilvl w:val="0"/>
          <w:numId w:val="1"/>
        </w:numPr>
        <w:autoSpaceDE w:val="0"/>
        <w:autoSpaceDN w:val="0"/>
        <w:adjustRightInd w:val="0"/>
        <w:spacing w:before="120" w:after="60" w:line="221" w:lineRule="atLeast"/>
        <w:jc w:val="both"/>
        <w:rPr>
          <w:rFonts w:eastAsia="Times New Roman" w:cs="Times New Roman"/>
          <w:color w:val="000000"/>
          <w:sz w:val="24"/>
          <w:szCs w:val="24"/>
        </w:rPr>
      </w:pPr>
      <w:r w:rsidRPr="007B3F2F">
        <w:rPr>
          <w:rFonts w:eastAsia="Times New Roman" w:cs="Times New Roman"/>
          <w:color w:val="000000"/>
          <w:sz w:val="24"/>
          <w:szCs w:val="24"/>
        </w:rPr>
        <w:t xml:space="preserve">master a broad body of historical knowledge </w:t>
      </w:r>
    </w:p>
    <w:p w:rsidR="00931769" w:rsidRPr="007B3F2F" w:rsidRDefault="00931769" w:rsidP="00931769">
      <w:pPr>
        <w:numPr>
          <w:ilvl w:val="0"/>
          <w:numId w:val="1"/>
        </w:numPr>
        <w:autoSpaceDE w:val="0"/>
        <w:autoSpaceDN w:val="0"/>
        <w:adjustRightInd w:val="0"/>
        <w:spacing w:before="120" w:after="60" w:line="221" w:lineRule="atLeast"/>
        <w:jc w:val="both"/>
        <w:rPr>
          <w:rFonts w:eastAsia="Times New Roman" w:cs="Times New Roman"/>
          <w:color w:val="000000"/>
          <w:sz w:val="24"/>
          <w:szCs w:val="24"/>
        </w:rPr>
      </w:pPr>
      <w:r w:rsidRPr="007B3F2F">
        <w:rPr>
          <w:rFonts w:eastAsia="Times New Roman" w:cs="Times New Roman"/>
          <w:color w:val="000000"/>
          <w:sz w:val="24"/>
          <w:szCs w:val="24"/>
        </w:rPr>
        <w:t xml:space="preserve">demonstrate an understanding of historical chronology </w:t>
      </w:r>
    </w:p>
    <w:p w:rsidR="00931769" w:rsidRPr="007B3F2F" w:rsidRDefault="00931769" w:rsidP="00931769">
      <w:pPr>
        <w:numPr>
          <w:ilvl w:val="0"/>
          <w:numId w:val="1"/>
        </w:numPr>
        <w:autoSpaceDE w:val="0"/>
        <w:autoSpaceDN w:val="0"/>
        <w:adjustRightInd w:val="0"/>
        <w:spacing w:before="120" w:after="60" w:line="221" w:lineRule="atLeast"/>
        <w:jc w:val="both"/>
        <w:rPr>
          <w:rFonts w:eastAsia="Times New Roman" w:cs="Times New Roman"/>
          <w:color w:val="000000"/>
          <w:sz w:val="24"/>
          <w:szCs w:val="24"/>
        </w:rPr>
      </w:pPr>
      <w:r w:rsidRPr="007B3F2F">
        <w:rPr>
          <w:rFonts w:eastAsia="Times New Roman" w:cs="Times New Roman"/>
          <w:color w:val="000000"/>
          <w:sz w:val="24"/>
          <w:szCs w:val="24"/>
        </w:rPr>
        <w:t xml:space="preserve">use historical data to support an argument or position </w:t>
      </w:r>
    </w:p>
    <w:p w:rsidR="00931769" w:rsidRPr="007B3F2F" w:rsidRDefault="00931769" w:rsidP="00931769">
      <w:pPr>
        <w:numPr>
          <w:ilvl w:val="0"/>
          <w:numId w:val="1"/>
        </w:numPr>
        <w:autoSpaceDE w:val="0"/>
        <w:autoSpaceDN w:val="0"/>
        <w:adjustRightInd w:val="0"/>
        <w:spacing w:before="120" w:after="60" w:line="221" w:lineRule="atLeast"/>
        <w:jc w:val="both"/>
        <w:rPr>
          <w:rFonts w:eastAsia="Times New Roman" w:cs="Times New Roman"/>
          <w:color w:val="000000"/>
          <w:sz w:val="24"/>
          <w:szCs w:val="24"/>
        </w:rPr>
      </w:pPr>
      <w:r w:rsidRPr="007B3F2F">
        <w:rPr>
          <w:rFonts w:eastAsia="Times New Roman" w:cs="Times New Roman"/>
          <w:color w:val="000000"/>
          <w:sz w:val="24"/>
          <w:szCs w:val="24"/>
        </w:rPr>
        <w:t xml:space="preserve">differentiate between historiographical schools of thought </w:t>
      </w:r>
    </w:p>
    <w:p w:rsidR="00931769" w:rsidRPr="007B3F2F" w:rsidRDefault="00931769" w:rsidP="00931769">
      <w:pPr>
        <w:numPr>
          <w:ilvl w:val="0"/>
          <w:numId w:val="1"/>
        </w:numPr>
        <w:spacing w:after="0" w:line="240" w:lineRule="auto"/>
        <w:jc w:val="both"/>
        <w:rPr>
          <w:rFonts w:eastAsia="Times New Roman" w:cs="Times New Roman"/>
          <w:sz w:val="24"/>
          <w:szCs w:val="24"/>
        </w:rPr>
      </w:pPr>
      <w:r w:rsidRPr="007B3F2F">
        <w:rPr>
          <w:rFonts w:eastAsia="Times New Roman" w:cs="Times New Roman"/>
          <w:sz w:val="24"/>
          <w:szCs w:val="24"/>
        </w:rPr>
        <w:t xml:space="preserve">examine how political institutions, social and cultural developments, diplomacy, and economic trends are interweaved throughout history </w:t>
      </w:r>
    </w:p>
    <w:p w:rsidR="00931769" w:rsidRPr="007B3F2F" w:rsidRDefault="00931769" w:rsidP="00931769">
      <w:pPr>
        <w:numPr>
          <w:ilvl w:val="0"/>
          <w:numId w:val="1"/>
        </w:numPr>
        <w:autoSpaceDE w:val="0"/>
        <w:autoSpaceDN w:val="0"/>
        <w:adjustRightInd w:val="0"/>
        <w:spacing w:before="120" w:after="60" w:line="221" w:lineRule="atLeast"/>
        <w:jc w:val="both"/>
        <w:rPr>
          <w:rFonts w:eastAsia="Times New Roman" w:cs="Times New Roman"/>
          <w:color w:val="000000"/>
          <w:sz w:val="24"/>
          <w:szCs w:val="24"/>
        </w:rPr>
      </w:pPr>
      <w:proofErr w:type="gramStart"/>
      <w:r w:rsidRPr="007B3F2F">
        <w:rPr>
          <w:rFonts w:eastAsia="Times New Roman" w:cs="Times New Roman"/>
          <w:color w:val="000000"/>
          <w:sz w:val="24"/>
          <w:szCs w:val="24"/>
        </w:rPr>
        <w:t>interpret</w:t>
      </w:r>
      <w:proofErr w:type="gramEnd"/>
      <w:r w:rsidRPr="007B3F2F">
        <w:rPr>
          <w:rFonts w:eastAsia="Times New Roman" w:cs="Times New Roman"/>
          <w:color w:val="000000"/>
          <w:sz w:val="24"/>
          <w:szCs w:val="24"/>
        </w:rPr>
        <w:t xml:space="preserve"> and apply data from original documents, including cartoons, graphs, letters, etc. </w:t>
      </w:r>
    </w:p>
    <w:p w:rsidR="00931769" w:rsidRPr="007B3F2F" w:rsidRDefault="00931769" w:rsidP="00931769">
      <w:pPr>
        <w:numPr>
          <w:ilvl w:val="0"/>
          <w:numId w:val="1"/>
        </w:numPr>
        <w:autoSpaceDE w:val="0"/>
        <w:autoSpaceDN w:val="0"/>
        <w:adjustRightInd w:val="0"/>
        <w:spacing w:before="120" w:after="60" w:line="221" w:lineRule="atLeast"/>
        <w:jc w:val="both"/>
        <w:rPr>
          <w:rFonts w:eastAsia="Times New Roman" w:cs="Times New Roman"/>
          <w:color w:val="000000"/>
          <w:sz w:val="24"/>
          <w:szCs w:val="24"/>
        </w:rPr>
      </w:pPr>
      <w:r w:rsidRPr="007B3F2F">
        <w:rPr>
          <w:rFonts w:eastAsia="Times New Roman" w:cs="Times New Roman"/>
          <w:color w:val="000000"/>
          <w:sz w:val="24"/>
          <w:szCs w:val="24"/>
        </w:rPr>
        <w:t xml:space="preserve">effectively use analytical skills of evaluation, cause and effect, compare and contrast </w:t>
      </w:r>
    </w:p>
    <w:p w:rsidR="00931769" w:rsidRPr="007B3F2F" w:rsidRDefault="00931769" w:rsidP="00931769">
      <w:pPr>
        <w:numPr>
          <w:ilvl w:val="0"/>
          <w:numId w:val="1"/>
        </w:numPr>
        <w:autoSpaceDE w:val="0"/>
        <w:autoSpaceDN w:val="0"/>
        <w:adjustRightInd w:val="0"/>
        <w:spacing w:before="120" w:after="60" w:line="221" w:lineRule="atLeast"/>
        <w:jc w:val="both"/>
        <w:rPr>
          <w:rFonts w:eastAsia="Times New Roman" w:cs="Times New Roman"/>
          <w:color w:val="000000"/>
          <w:sz w:val="24"/>
          <w:szCs w:val="24"/>
        </w:rPr>
      </w:pPr>
      <w:r w:rsidRPr="007B3F2F">
        <w:rPr>
          <w:rFonts w:eastAsia="Times New Roman" w:cs="Times New Roman"/>
          <w:color w:val="000000"/>
          <w:sz w:val="24"/>
          <w:szCs w:val="24"/>
        </w:rPr>
        <w:t xml:space="preserve">work effectively with others to produce products and solve problems </w:t>
      </w:r>
    </w:p>
    <w:p w:rsidR="00CA2F5E" w:rsidRPr="00F77F9E" w:rsidRDefault="00931769" w:rsidP="00F77F9E">
      <w:pPr>
        <w:numPr>
          <w:ilvl w:val="0"/>
          <w:numId w:val="1"/>
        </w:numPr>
        <w:autoSpaceDE w:val="0"/>
        <w:autoSpaceDN w:val="0"/>
        <w:adjustRightInd w:val="0"/>
        <w:spacing w:before="120" w:after="60" w:line="221" w:lineRule="atLeast"/>
        <w:jc w:val="both"/>
        <w:rPr>
          <w:rFonts w:eastAsia="Times New Roman" w:cs="Minion Pro"/>
          <w:color w:val="000000"/>
          <w:sz w:val="24"/>
          <w:szCs w:val="24"/>
        </w:rPr>
      </w:pPr>
      <w:r w:rsidRPr="007B3F2F">
        <w:rPr>
          <w:rFonts w:eastAsia="Times New Roman" w:cs="Times New Roman"/>
          <w:color w:val="000000"/>
          <w:sz w:val="24"/>
          <w:szCs w:val="24"/>
        </w:rPr>
        <w:t>prepare for and successfully pass the AP U.S. History Exam</w:t>
      </w:r>
      <w:bookmarkStart w:id="0" w:name="_GoBack"/>
      <w:bookmarkEnd w:id="0"/>
    </w:p>
    <w:p w:rsidR="00931769" w:rsidRPr="007B3F2F" w:rsidRDefault="00931769" w:rsidP="00931769">
      <w:pPr>
        <w:autoSpaceDE w:val="0"/>
        <w:autoSpaceDN w:val="0"/>
        <w:adjustRightInd w:val="0"/>
        <w:spacing w:before="120" w:after="120" w:line="321" w:lineRule="atLeast"/>
        <w:jc w:val="both"/>
        <w:rPr>
          <w:b/>
          <w:color w:val="000000"/>
          <w:sz w:val="28"/>
          <w:szCs w:val="28"/>
          <w:u w:val="single"/>
        </w:rPr>
      </w:pPr>
      <w:r w:rsidRPr="007B3F2F">
        <w:rPr>
          <w:b/>
          <w:color w:val="000000"/>
          <w:sz w:val="28"/>
          <w:szCs w:val="28"/>
          <w:u w:val="single"/>
        </w:rPr>
        <w:lastRenderedPageBreak/>
        <w:t xml:space="preserve">Course </w:t>
      </w:r>
      <w:proofErr w:type="gramStart"/>
      <w:r w:rsidRPr="007B3F2F">
        <w:rPr>
          <w:b/>
          <w:color w:val="000000"/>
          <w:sz w:val="28"/>
          <w:szCs w:val="28"/>
          <w:u w:val="single"/>
        </w:rPr>
        <w:t>Texts :</w:t>
      </w:r>
      <w:proofErr w:type="gramEnd"/>
      <w:r w:rsidRPr="007B3F2F">
        <w:rPr>
          <w:b/>
          <w:color w:val="000000"/>
          <w:sz w:val="28"/>
          <w:szCs w:val="28"/>
          <w:u w:val="single"/>
        </w:rPr>
        <w:t xml:space="preserve"> </w:t>
      </w:r>
    </w:p>
    <w:p w:rsidR="00931769" w:rsidRPr="007B3F2F" w:rsidRDefault="00931769" w:rsidP="00931769">
      <w:pPr>
        <w:pStyle w:val="ListParagraph"/>
        <w:autoSpaceDE w:val="0"/>
        <w:autoSpaceDN w:val="0"/>
        <w:adjustRightInd w:val="0"/>
        <w:spacing w:before="120" w:after="120" w:line="240" w:lineRule="auto"/>
        <w:ind w:left="1280"/>
        <w:jc w:val="both"/>
        <w:rPr>
          <w:u w:val="single"/>
        </w:rPr>
      </w:pPr>
      <w:r w:rsidRPr="007B3F2F">
        <w:rPr>
          <w:u w:val="single"/>
        </w:rPr>
        <w:t>Primary Texts:</w:t>
      </w:r>
    </w:p>
    <w:p w:rsidR="00931769" w:rsidRPr="00A44434" w:rsidRDefault="00931769" w:rsidP="00931769">
      <w:pPr>
        <w:pStyle w:val="ListParagraph"/>
        <w:numPr>
          <w:ilvl w:val="0"/>
          <w:numId w:val="1"/>
        </w:numPr>
        <w:autoSpaceDE w:val="0"/>
        <w:autoSpaceDN w:val="0"/>
        <w:adjustRightInd w:val="0"/>
        <w:spacing w:before="120" w:after="120" w:line="240" w:lineRule="auto"/>
        <w:jc w:val="both"/>
      </w:pPr>
      <w:r w:rsidRPr="00A44434">
        <w:t xml:space="preserve">John J. Newman and John M. </w:t>
      </w:r>
      <w:proofErr w:type="spellStart"/>
      <w:r w:rsidRPr="00A44434">
        <w:t>Schmalbach</w:t>
      </w:r>
      <w:proofErr w:type="spellEnd"/>
      <w:r w:rsidRPr="00A44434">
        <w:t xml:space="preserve">. </w:t>
      </w:r>
      <w:r w:rsidRPr="007B3F2F">
        <w:rPr>
          <w:i/>
        </w:rPr>
        <w:t>United States History: Preparing for the Advanced Placement Examination</w:t>
      </w:r>
      <w:r w:rsidRPr="00A44434">
        <w:t xml:space="preserve"> </w:t>
      </w:r>
      <w:r>
        <w:t xml:space="preserve">3rd Edition </w:t>
      </w:r>
      <w:r w:rsidRPr="00A44434">
        <w:t>(New York:</w:t>
      </w:r>
      <w:r>
        <w:t xml:space="preserve"> </w:t>
      </w:r>
      <w:proofErr w:type="spellStart"/>
      <w:r>
        <w:t>Amsco</w:t>
      </w:r>
      <w:proofErr w:type="spellEnd"/>
      <w:r>
        <w:t xml:space="preserve"> School Publications, 2015</w:t>
      </w:r>
      <w:r w:rsidRPr="00A44434">
        <w:t xml:space="preserve">). </w:t>
      </w:r>
    </w:p>
    <w:p w:rsidR="00931769" w:rsidRPr="00A44434" w:rsidRDefault="00931769" w:rsidP="00931769">
      <w:pPr>
        <w:pStyle w:val="ListParagraph"/>
        <w:numPr>
          <w:ilvl w:val="0"/>
          <w:numId w:val="1"/>
        </w:numPr>
        <w:autoSpaceDE w:val="0"/>
        <w:autoSpaceDN w:val="0"/>
        <w:adjustRightInd w:val="0"/>
        <w:spacing w:before="120" w:after="120" w:line="240" w:lineRule="auto"/>
        <w:jc w:val="both"/>
      </w:pPr>
      <w:r w:rsidRPr="007B3F2F">
        <w:rPr>
          <w:rFonts w:cs="Minion Pro"/>
          <w:color w:val="000000"/>
        </w:rPr>
        <w:t xml:space="preserve">David M. Kennedy, Lizabeth Cohen, and Thomas A. Bailey. </w:t>
      </w:r>
      <w:r w:rsidRPr="007B3F2F">
        <w:rPr>
          <w:rFonts w:cs="Minion Pro"/>
          <w:i/>
          <w:color w:val="000000"/>
        </w:rPr>
        <w:t>The American Pageant: A History of the Republic</w:t>
      </w:r>
      <w:r w:rsidRPr="007B3F2F">
        <w:rPr>
          <w:rFonts w:cs="Minion Pro"/>
          <w:color w:val="000000"/>
        </w:rPr>
        <w:t xml:space="preserve"> </w:t>
      </w:r>
      <w:r>
        <w:rPr>
          <w:rFonts w:cs="Minion Pro"/>
          <w:color w:val="000000"/>
        </w:rPr>
        <w:t xml:space="preserve">12th Edition </w:t>
      </w:r>
      <w:r w:rsidRPr="007B3F2F">
        <w:rPr>
          <w:rFonts w:cs="Minion Pro"/>
          <w:color w:val="000000"/>
        </w:rPr>
        <w:t xml:space="preserve">(Boston: McDougal </w:t>
      </w:r>
      <w:proofErr w:type="spellStart"/>
      <w:r w:rsidRPr="007B3F2F">
        <w:rPr>
          <w:rFonts w:cs="Minion Pro"/>
          <w:color w:val="000000"/>
        </w:rPr>
        <w:t>Littell</w:t>
      </w:r>
      <w:proofErr w:type="spellEnd"/>
      <w:r w:rsidRPr="007B3F2F">
        <w:rPr>
          <w:rFonts w:cs="Minion Pro"/>
          <w:color w:val="000000"/>
        </w:rPr>
        <w:t xml:space="preserve">/Houghton Mifflin, 2005). </w:t>
      </w:r>
    </w:p>
    <w:p w:rsidR="00931769" w:rsidRPr="007B3F2F" w:rsidRDefault="00931769" w:rsidP="00931769">
      <w:pPr>
        <w:pStyle w:val="ListParagraph"/>
        <w:spacing w:line="240" w:lineRule="auto"/>
        <w:ind w:left="1280"/>
        <w:jc w:val="both"/>
        <w:rPr>
          <w:rFonts w:cs="Minion Pro"/>
          <w:color w:val="000000"/>
        </w:rPr>
      </w:pPr>
    </w:p>
    <w:p w:rsidR="00931769" w:rsidRPr="007B3F2F" w:rsidRDefault="00931769" w:rsidP="00931769">
      <w:pPr>
        <w:pStyle w:val="ListParagraph"/>
        <w:numPr>
          <w:ilvl w:val="0"/>
          <w:numId w:val="1"/>
        </w:numPr>
        <w:spacing w:line="240" w:lineRule="auto"/>
        <w:jc w:val="both"/>
        <w:rPr>
          <w:rFonts w:cs="Minion Pro"/>
          <w:color w:val="000000"/>
        </w:rPr>
      </w:pPr>
      <w:r>
        <w:rPr>
          <w:rFonts w:cs="Minion Pro"/>
          <w:color w:val="000000"/>
        </w:rPr>
        <w:t>A</w:t>
      </w:r>
      <w:r w:rsidRPr="007B3F2F">
        <w:rPr>
          <w:rFonts w:cs="Minion Pro"/>
          <w:color w:val="000000"/>
        </w:rPr>
        <w:t xml:space="preserve">dditional sources </w:t>
      </w:r>
      <w:proofErr w:type="gramStart"/>
      <w:r w:rsidRPr="007B3F2F">
        <w:rPr>
          <w:rFonts w:cs="Minion Pro"/>
          <w:color w:val="000000"/>
        </w:rPr>
        <w:t>will be incorporated</w:t>
      </w:r>
      <w:proofErr w:type="gramEnd"/>
      <w:r w:rsidRPr="007B3F2F">
        <w:rPr>
          <w:rFonts w:cs="Minion Pro"/>
          <w:color w:val="000000"/>
        </w:rPr>
        <w:t xml:space="preserve"> into the students’ reading throughout the course when needed. They may be asked to read, analyze, and interpret these documents though homemade Document Base Questions. </w:t>
      </w:r>
    </w:p>
    <w:p w:rsidR="00931769" w:rsidRDefault="00931769" w:rsidP="00931769">
      <w:pPr>
        <w:autoSpaceDE w:val="0"/>
        <w:autoSpaceDN w:val="0"/>
        <w:adjustRightInd w:val="0"/>
        <w:spacing w:before="120" w:after="60" w:line="221" w:lineRule="atLeast"/>
        <w:jc w:val="both"/>
        <w:rPr>
          <w:rFonts w:eastAsia="Times New Roman" w:cs="Minion Pro"/>
          <w:b/>
          <w:color w:val="000000"/>
          <w:sz w:val="24"/>
          <w:szCs w:val="24"/>
          <w:u w:val="single"/>
        </w:rPr>
      </w:pPr>
      <w:r w:rsidRPr="007B3F2F">
        <w:rPr>
          <w:rFonts w:eastAsia="Times New Roman" w:cs="Minion Pro"/>
          <w:b/>
          <w:color w:val="000000"/>
          <w:sz w:val="24"/>
          <w:szCs w:val="24"/>
          <w:u w:val="single"/>
        </w:rPr>
        <w:t xml:space="preserve">Historical Themes: </w:t>
      </w:r>
    </w:p>
    <w:p w:rsidR="00931769" w:rsidRPr="007B3F2F" w:rsidRDefault="00931769" w:rsidP="00931769">
      <w:pPr>
        <w:pStyle w:val="Default"/>
        <w:spacing w:after="60" w:line="201" w:lineRule="atLeast"/>
        <w:jc w:val="right"/>
        <w:rPr>
          <w:sz w:val="17"/>
          <w:szCs w:val="17"/>
        </w:rPr>
      </w:pPr>
    </w:p>
    <w:p w:rsidR="00931769" w:rsidRPr="007B3F2F" w:rsidRDefault="00931769" w:rsidP="00931769">
      <w:pPr>
        <w:pStyle w:val="Pa10"/>
        <w:rPr>
          <w:rFonts w:asciiTheme="minorHAnsi" w:hAnsiTheme="minorHAnsi" w:cs="OfficinaSanITCBoo"/>
          <w:color w:val="000000"/>
          <w:sz w:val="22"/>
          <w:szCs w:val="22"/>
        </w:rPr>
      </w:pPr>
      <w:r w:rsidRPr="007B3F2F">
        <w:rPr>
          <w:rStyle w:val="A8"/>
          <w:rFonts w:asciiTheme="minorHAnsi" w:hAnsiTheme="minorHAnsi"/>
        </w:rPr>
        <w:t xml:space="preserve">While the course follows a narrative structure supported by the textbook and audiovisual materials, the following seven themes described in the AP U.S. History Course and Exam Description </w:t>
      </w:r>
      <w:proofErr w:type="gramStart"/>
      <w:r w:rsidRPr="007B3F2F">
        <w:rPr>
          <w:rStyle w:val="A8"/>
          <w:rFonts w:asciiTheme="minorHAnsi" w:hAnsiTheme="minorHAnsi"/>
        </w:rPr>
        <w:t>are woven</w:t>
      </w:r>
      <w:proofErr w:type="gramEnd"/>
      <w:r w:rsidRPr="007B3F2F">
        <w:rPr>
          <w:rStyle w:val="A8"/>
          <w:rFonts w:asciiTheme="minorHAnsi" w:hAnsiTheme="minorHAnsi"/>
        </w:rPr>
        <w:t xml:space="preserve"> throughout each unit of study: </w:t>
      </w:r>
    </w:p>
    <w:p w:rsidR="00931769" w:rsidRDefault="0005752F" w:rsidP="0005752F">
      <w:pPr>
        <w:pStyle w:val="Pa11"/>
        <w:numPr>
          <w:ilvl w:val="0"/>
          <w:numId w:val="9"/>
        </w:numPr>
        <w:rPr>
          <w:rStyle w:val="A8"/>
          <w:rFonts w:asciiTheme="minorHAnsi" w:hAnsiTheme="minorHAnsi"/>
          <w:b/>
        </w:rPr>
      </w:pPr>
      <w:r>
        <w:rPr>
          <w:rStyle w:val="A8"/>
          <w:rFonts w:asciiTheme="minorHAnsi" w:hAnsiTheme="minorHAnsi"/>
          <w:b/>
        </w:rPr>
        <w:t>American and National Identity (NAT)</w:t>
      </w:r>
    </w:p>
    <w:p w:rsidR="0005752F" w:rsidRPr="0005752F" w:rsidRDefault="0005752F" w:rsidP="0005752F">
      <w:pPr>
        <w:pStyle w:val="Default"/>
        <w:numPr>
          <w:ilvl w:val="0"/>
          <w:numId w:val="9"/>
        </w:numPr>
        <w:rPr>
          <w:rFonts w:asciiTheme="minorHAnsi" w:hAnsiTheme="minorHAnsi"/>
          <w:b/>
        </w:rPr>
      </w:pPr>
      <w:r w:rsidRPr="0005752F">
        <w:rPr>
          <w:rFonts w:asciiTheme="minorHAnsi" w:hAnsiTheme="minorHAnsi"/>
          <w:b/>
        </w:rPr>
        <w:t>Politics and Power (POL)</w:t>
      </w:r>
    </w:p>
    <w:p w:rsidR="0005752F" w:rsidRPr="0005752F" w:rsidRDefault="0005752F" w:rsidP="0005752F">
      <w:pPr>
        <w:pStyle w:val="Default"/>
        <w:numPr>
          <w:ilvl w:val="0"/>
          <w:numId w:val="9"/>
        </w:numPr>
        <w:rPr>
          <w:rFonts w:asciiTheme="minorHAnsi" w:hAnsiTheme="minorHAnsi"/>
          <w:b/>
        </w:rPr>
      </w:pPr>
      <w:r w:rsidRPr="0005752F">
        <w:rPr>
          <w:rFonts w:asciiTheme="minorHAnsi" w:hAnsiTheme="minorHAnsi"/>
          <w:b/>
        </w:rPr>
        <w:t>Work, Exchange, and Technology (WXT)</w:t>
      </w:r>
    </w:p>
    <w:p w:rsidR="0005752F" w:rsidRPr="0005752F" w:rsidRDefault="0005752F" w:rsidP="0005752F">
      <w:pPr>
        <w:pStyle w:val="Default"/>
        <w:numPr>
          <w:ilvl w:val="0"/>
          <w:numId w:val="9"/>
        </w:numPr>
        <w:rPr>
          <w:rFonts w:asciiTheme="minorHAnsi" w:hAnsiTheme="minorHAnsi"/>
          <w:b/>
        </w:rPr>
      </w:pPr>
      <w:r w:rsidRPr="0005752F">
        <w:rPr>
          <w:rFonts w:asciiTheme="minorHAnsi" w:hAnsiTheme="minorHAnsi"/>
          <w:b/>
        </w:rPr>
        <w:t>Culture and Society (CUL)</w:t>
      </w:r>
    </w:p>
    <w:p w:rsidR="0005752F" w:rsidRPr="0005752F" w:rsidRDefault="0005752F" w:rsidP="0005752F">
      <w:pPr>
        <w:pStyle w:val="Default"/>
        <w:numPr>
          <w:ilvl w:val="0"/>
          <w:numId w:val="9"/>
        </w:numPr>
        <w:rPr>
          <w:rFonts w:asciiTheme="minorHAnsi" w:hAnsiTheme="minorHAnsi"/>
          <w:b/>
        </w:rPr>
      </w:pPr>
      <w:r w:rsidRPr="0005752F">
        <w:rPr>
          <w:rFonts w:asciiTheme="minorHAnsi" w:hAnsiTheme="minorHAnsi"/>
          <w:b/>
        </w:rPr>
        <w:t>Migration and Settlement (MIG)</w:t>
      </w:r>
    </w:p>
    <w:p w:rsidR="0005752F" w:rsidRPr="0005752F" w:rsidRDefault="0005752F" w:rsidP="0005752F">
      <w:pPr>
        <w:pStyle w:val="Default"/>
        <w:numPr>
          <w:ilvl w:val="0"/>
          <w:numId w:val="9"/>
        </w:numPr>
        <w:rPr>
          <w:rFonts w:asciiTheme="minorHAnsi" w:hAnsiTheme="minorHAnsi"/>
          <w:b/>
        </w:rPr>
      </w:pPr>
      <w:r w:rsidRPr="0005752F">
        <w:rPr>
          <w:rFonts w:asciiTheme="minorHAnsi" w:hAnsiTheme="minorHAnsi"/>
          <w:b/>
        </w:rPr>
        <w:t>Geography and the Environment (GEO)</w:t>
      </w:r>
    </w:p>
    <w:p w:rsidR="0005752F" w:rsidRPr="0005752F" w:rsidRDefault="0005752F" w:rsidP="0005752F">
      <w:pPr>
        <w:pStyle w:val="Default"/>
        <w:numPr>
          <w:ilvl w:val="0"/>
          <w:numId w:val="9"/>
        </w:numPr>
        <w:rPr>
          <w:rFonts w:asciiTheme="minorHAnsi" w:hAnsiTheme="minorHAnsi"/>
          <w:b/>
        </w:rPr>
      </w:pPr>
      <w:r w:rsidRPr="0005752F">
        <w:rPr>
          <w:rFonts w:asciiTheme="minorHAnsi" w:hAnsiTheme="minorHAnsi"/>
          <w:b/>
        </w:rPr>
        <w:t>America in the World (WOR)</w:t>
      </w:r>
    </w:p>
    <w:p w:rsidR="00CA2F5E" w:rsidRDefault="00CA2F5E" w:rsidP="00931769">
      <w:pPr>
        <w:pStyle w:val="Default"/>
        <w:rPr>
          <w:rFonts w:asciiTheme="minorHAnsi" w:hAnsiTheme="minorHAnsi"/>
          <w:b/>
          <w:u w:val="single"/>
        </w:rPr>
      </w:pPr>
    </w:p>
    <w:p w:rsidR="00931769" w:rsidRPr="005C2E2C" w:rsidRDefault="00931769" w:rsidP="00931769">
      <w:pPr>
        <w:pStyle w:val="Default"/>
        <w:rPr>
          <w:rFonts w:asciiTheme="minorHAnsi" w:hAnsiTheme="minorHAnsi"/>
          <w:b/>
          <w:u w:val="single"/>
        </w:rPr>
      </w:pPr>
      <w:r w:rsidRPr="005C2E2C">
        <w:rPr>
          <w:rFonts w:asciiTheme="minorHAnsi" w:hAnsiTheme="minorHAnsi"/>
          <w:b/>
          <w:u w:val="single"/>
        </w:rPr>
        <w:t>Historical Thinking Skills:</w:t>
      </w:r>
    </w:p>
    <w:p w:rsidR="00931769" w:rsidRPr="005C2E2C" w:rsidRDefault="00931769" w:rsidP="00931769">
      <w:pPr>
        <w:autoSpaceDE w:val="0"/>
        <w:autoSpaceDN w:val="0"/>
        <w:adjustRightInd w:val="0"/>
        <w:spacing w:after="0" w:line="241" w:lineRule="atLeast"/>
        <w:rPr>
          <w:rFonts w:cs="OfficinaSanITCBoo"/>
          <w:color w:val="000000"/>
        </w:rPr>
      </w:pPr>
      <w:r w:rsidRPr="005C2E2C">
        <w:rPr>
          <w:rFonts w:cs="OfficinaSanITCBoo"/>
          <w:color w:val="000000"/>
        </w:rPr>
        <w:t xml:space="preserve">These skills reflect the tasks of professional historians. While learning to master these tasks, AP U.S. History students act as “apprentice historians.” </w:t>
      </w:r>
    </w:p>
    <w:p w:rsidR="00931769" w:rsidRPr="005C2E2C" w:rsidRDefault="00931769" w:rsidP="00931769">
      <w:pPr>
        <w:autoSpaceDE w:val="0"/>
        <w:autoSpaceDN w:val="0"/>
        <w:adjustRightInd w:val="0"/>
        <w:spacing w:after="0" w:line="241" w:lineRule="atLeast"/>
        <w:rPr>
          <w:rFonts w:cs="OfficinaSanITCBoo"/>
          <w:color w:val="000000"/>
        </w:rPr>
      </w:pPr>
    </w:p>
    <w:p w:rsidR="00931769" w:rsidRPr="0005752F" w:rsidRDefault="0005752F" w:rsidP="0005752F">
      <w:pPr>
        <w:pStyle w:val="ListParagraph"/>
        <w:numPr>
          <w:ilvl w:val="0"/>
          <w:numId w:val="8"/>
        </w:numPr>
        <w:autoSpaceDE w:val="0"/>
        <w:autoSpaceDN w:val="0"/>
        <w:adjustRightInd w:val="0"/>
        <w:spacing w:after="0" w:line="240" w:lineRule="auto"/>
        <w:rPr>
          <w:rFonts w:cs="OfficinaSanITCBoo"/>
          <w:color w:val="000000"/>
        </w:rPr>
      </w:pPr>
      <w:r w:rsidRPr="0005752F">
        <w:rPr>
          <w:rFonts w:cs="OfficinaSanITCBoo"/>
          <w:color w:val="000000"/>
        </w:rPr>
        <w:t>Analyzin</w:t>
      </w:r>
      <w:r w:rsidR="000A4059">
        <w:rPr>
          <w:rFonts w:cs="OfficinaSanITCBoo"/>
          <w:color w:val="000000"/>
        </w:rPr>
        <w:t>g Evidence</w:t>
      </w:r>
      <w:r w:rsidRPr="0005752F">
        <w:rPr>
          <w:rFonts w:cs="OfficinaSanITCBoo"/>
          <w:color w:val="000000"/>
        </w:rPr>
        <w:t xml:space="preserve">    </w:t>
      </w:r>
    </w:p>
    <w:p w:rsidR="0005752F" w:rsidRDefault="0005752F" w:rsidP="0005752F">
      <w:pPr>
        <w:pStyle w:val="ListParagraph"/>
        <w:numPr>
          <w:ilvl w:val="0"/>
          <w:numId w:val="7"/>
        </w:numPr>
        <w:autoSpaceDE w:val="0"/>
        <w:autoSpaceDN w:val="0"/>
        <w:adjustRightInd w:val="0"/>
        <w:spacing w:after="0" w:line="240" w:lineRule="auto"/>
        <w:rPr>
          <w:rFonts w:cs="OfficinaSanITCBoo"/>
          <w:color w:val="000000"/>
        </w:rPr>
      </w:pPr>
      <w:r>
        <w:rPr>
          <w:rFonts w:cs="OfficinaSanITCBoo"/>
          <w:color w:val="000000"/>
        </w:rPr>
        <w:t>Interpretation</w:t>
      </w:r>
    </w:p>
    <w:p w:rsidR="0005752F" w:rsidRDefault="0005752F" w:rsidP="0005752F">
      <w:pPr>
        <w:pStyle w:val="ListParagraph"/>
        <w:numPr>
          <w:ilvl w:val="0"/>
          <w:numId w:val="7"/>
        </w:numPr>
        <w:autoSpaceDE w:val="0"/>
        <w:autoSpaceDN w:val="0"/>
        <w:adjustRightInd w:val="0"/>
        <w:spacing w:after="0" w:line="240" w:lineRule="auto"/>
        <w:rPr>
          <w:rFonts w:cs="OfficinaSanITCBoo"/>
          <w:color w:val="000000"/>
        </w:rPr>
      </w:pPr>
      <w:r>
        <w:rPr>
          <w:rFonts w:cs="OfficinaSanITCBoo"/>
          <w:color w:val="000000"/>
        </w:rPr>
        <w:t>Comparison</w:t>
      </w:r>
    </w:p>
    <w:p w:rsidR="0005752F" w:rsidRDefault="0005752F" w:rsidP="0005752F">
      <w:pPr>
        <w:pStyle w:val="ListParagraph"/>
        <w:numPr>
          <w:ilvl w:val="0"/>
          <w:numId w:val="7"/>
        </w:numPr>
        <w:autoSpaceDE w:val="0"/>
        <w:autoSpaceDN w:val="0"/>
        <w:adjustRightInd w:val="0"/>
        <w:spacing w:after="0" w:line="240" w:lineRule="auto"/>
        <w:rPr>
          <w:rFonts w:cs="OfficinaSanITCBoo"/>
          <w:color w:val="000000"/>
        </w:rPr>
      </w:pPr>
      <w:r>
        <w:rPr>
          <w:rFonts w:cs="OfficinaSanITCBoo"/>
          <w:color w:val="000000"/>
        </w:rPr>
        <w:t>Contextualization</w:t>
      </w:r>
    </w:p>
    <w:p w:rsidR="0005752F" w:rsidRDefault="0005752F" w:rsidP="0005752F">
      <w:pPr>
        <w:pStyle w:val="ListParagraph"/>
        <w:numPr>
          <w:ilvl w:val="0"/>
          <w:numId w:val="7"/>
        </w:numPr>
        <w:autoSpaceDE w:val="0"/>
        <w:autoSpaceDN w:val="0"/>
        <w:adjustRightInd w:val="0"/>
        <w:spacing w:after="0" w:line="240" w:lineRule="auto"/>
        <w:rPr>
          <w:rFonts w:cs="OfficinaSanITCBoo"/>
          <w:color w:val="000000"/>
        </w:rPr>
      </w:pPr>
      <w:r>
        <w:rPr>
          <w:rFonts w:cs="OfficinaSanITCBoo"/>
          <w:color w:val="000000"/>
        </w:rPr>
        <w:t>Synthesis</w:t>
      </w:r>
    </w:p>
    <w:p w:rsidR="0005752F" w:rsidRDefault="0005752F" w:rsidP="0005752F">
      <w:pPr>
        <w:pStyle w:val="ListParagraph"/>
        <w:numPr>
          <w:ilvl w:val="0"/>
          <w:numId w:val="7"/>
        </w:numPr>
        <w:autoSpaceDE w:val="0"/>
        <w:autoSpaceDN w:val="0"/>
        <w:adjustRightInd w:val="0"/>
        <w:spacing w:after="0" w:line="240" w:lineRule="auto"/>
        <w:rPr>
          <w:rFonts w:cs="OfficinaSanITCBoo"/>
          <w:color w:val="000000"/>
        </w:rPr>
      </w:pPr>
      <w:r>
        <w:rPr>
          <w:rFonts w:cs="OfficinaSanITCBoo"/>
          <w:color w:val="000000"/>
        </w:rPr>
        <w:t>Causation</w:t>
      </w:r>
    </w:p>
    <w:p w:rsidR="0005752F" w:rsidRDefault="0005752F" w:rsidP="0005752F">
      <w:pPr>
        <w:pStyle w:val="ListParagraph"/>
        <w:numPr>
          <w:ilvl w:val="0"/>
          <w:numId w:val="7"/>
        </w:numPr>
        <w:autoSpaceDE w:val="0"/>
        <w:autoSpaceDN w:val="0"/>
        <w:adjustRightInd w:val="0"/>
        <w:spacing w:after="0" w:line="240" w:lineRule="auto"/>
        <w:rPr>
          <w:rFonts w:cs="OfficinaSanITCBoo"/>
          <w:color w:val="000000"/>
        </w:rPr>
      </w:pPr>
      <w:r>
        <w:rPr>
          <w:rFonts w:cs="OfficinaSanITCBoo"/>
          <w:color w:val="000000"/>
        </w:rPr>
        <w:t>Patterns of Continuity and Change over Time</w:t>
      </w:r>
    </w:p>
    <w:p w:rsidR="0005752F" w:rsidRDefault="0005752F" w:rsidP="0005752F">
      <w:pPr>
        <w:pStyle w:val="ListParagraph"/>
        <w:numPr>
          <w:ilvl w:val="0"/>
          <w:numId w:val="7"/>
        </w:numPr>
        <w:autoSpaceDE w:val="0"/>
        <w:autoSpaceDN w:val="0"/>
        <w:adjustRightInd w:val="0"/>
        <w:spacing w:after="0" w:line="240" w:lineRule="auto"/>
        <w:rPr>
          <w:rFonts w:cs="OfficinaSanITCBoo"/>
          <w:color w:val="000000"/>
        </w:rPr>
      </w:pPr>
      <w:r>
        <w:rPr>
          <w:rFonts w:cs="OfficinaSanITCBoo"/>
          <w:color w:val="000000"/>
        </w:rPr>
        <w:t>Periodization</w:t>
      </w:r>
    </w:p>
    <w:p w:rsidR="0005752F" w:rsidRDefault="0005752F" w:rsidP="0005752F">
      <w:pPr>
        <w:pStyle w:val="ListParagraph"/>
        <w:numPr>
          <w:ilvl w:val="0"/>
          <w:numId w:val="7"/>
        </w:numPr>
        <w:autoSpaceDE w:val="0"/>
        <w:autoSpaceDN w:val="0"/>
        <w:adjustRightInd w:val="0"/>
        <w:spacing w:after="0" w:line="240" w:lineRule="auto"/>
        <w:rPr>
          <w:rFonts w:cs="OfficinaSanITCBoo"/>
          <w:color w:val="000000"/>
        </w:rPr>
      </w:pPr>
      <w:r>
        <w:rPr>
          <w:rFonts w:cs="OfficinaSanITCBoo"/>
          <w:color w:val="000000"/>
        </w:rPr>
        <w:t>Argumentation</w:t>
      </w:r>
    </w:p>
    <w:p w:rsidR="0005752F" w:rsidRPr="000A4059" w:rsidRDefault="0005752F" w:rsidP="000A4059">
      <w:pPr>
        <w:autoSpaceDE w:val="0"/>
        <w:autoSpaceDN w:val="0"/>
        <w:adjustRightInd w:val="0"/>
        <w:spacing w:after="0" w:line="240" w:lineRule="auto"/>
        <w:ind w:left="360"/>
        <w:rPr>
          <w:rFonts w:cs="OfficinaSanITCBoo"/>
          <w:color w:val="000000"/>
        </w:rPr>
      </w:pPr>
    </w:p>
    <w:p w:rsidR="00931769" w:rsidRDefault="00931769" w:rsidP="00931769">
      <w:pPr>
        <w:autoSpaceDE w:val="0"/>
        <w:autoSpaceDN w:val="0"/>
        <w:adjustRightInd w:val="0"/>
        <w:spacing w:after="0" w:line="240" w:lineRule="auto"/>
        <w:rPr>
          <w:rFonts w:cs="OfficinaSanITCBoo"/>
          <w:b/>
          <w:color w:val="000000"/>
          <w:u w:val="single"/>
        </w:rPr>
      </w:pPr>
    </w:p>
    <w:p w:rsidR="0005752F" w:rsidRDefault="0005752F" w:rsidP="00931769">
      <w:pPr>
        <w:autoSpaceDE w:val="0"/>
        <w:autoSpaceDN w:val="0"/>
        <w:adjustRightInd w:val="0"/>
        <w:spacing w:after="0" w:line="240" w:lineRule="auto"/>
        <w:rPr>
          <w:rFonts w:cs="OfficinaSanITCBoo"/>
          <w:b/>
          <w:color w:val="000000"/>
          <w:u w:val="single"/>
        </w:rPr>
      </w:pPr>
    </w:p>
    <w:p w:rsidR="0005752F" w:rsidRDefault="0005752F" w:rsidP="00931769">
      <w:pPr>
        <w:autoSpaceDE w:val="0"/>
        <w:autoSpaceDN w:val="0"/>
        <w:adjustRightInd w:val="0"/>
        <w:spacing w:after="0" w:line="240" w:lineRule="auto"/>
        <w:rPr>
          <w:rFonts w:cs="OfficinaSanITCBoo"/>
          <w:b/>
          <w:color w:val="000000"/>
          <w:u w:val="single"/>
        </w:rPr>
      </w:pPr>
    </w:p>
    <w:p w:rsidR="0005752F" w:rsidRDefault="0005752F" w:rsidP="00931769">
      <w:pPr>
        <w:autoSpaceDE w:val="0"/>
        <w:autoSpaceDN w:val="0"/>
        <w:adjustRightInd w:val="0"/>
        <w:spacing w:after="0" w:line="240" w:lineRule="auto"/>
        <w:rPr>
          <w:rFonts w:cs="OfficinaSanITCBoo"/>
          <w:b/>
          <w:color w:val="000000"/>
          <w:u w:val="single"/>
        </w:rPr>
      </w:pPr>
    </w:p>
    <w:p w:rsidR="0005752F" w:rsidRDefault="0005752F" w:rsidP="00931769">
      <w:pPr>
        <w:autoSpaceDE w:val="0"/>
        <w:autoSpaceDN w:val="0"/>
        <w:adjustRightInd w:val="0"/>
        <w:spacing w:after="0" w:line="240" w:lineRule="auto"/>
        <w:rPr>
          <w:rFonts w:cs="OfficinaSanITCBoo"/>
          <w:b/>
          <w:color w:val="000000"/>
          <w:u w:val="single"/>
        </w:rPr>
      </w:pPr>
    </w:p>
    <w:p w:rsidR="0005752F" w:rsidRDefault="0005752F" w:rsidP="00931769">
      <w:pPr>
        <w:autoSpaceDE w:val="0"/>
        <w:autoSpaceDN w:val="0"/>
        <w:adjustRightInd w:val="0"/>
        <w:spacing w:after="0" w:line="240" w:lineRule="auto"/>
        <w:rPr>
          <w:rFonts w:cs="OfficinaSanITCBoo"/>
          <w:b/>
          <w:color w:val="000000"/>
          <w:u w:val="single"/>
        </w:rPr>
      </w:pPr>
    </w:p>
    <w:p w:rsidR="0005752F" w:rsidRDefault="0005752F" w:rsidP="00931769">
      <w:pPr>
        <w:autoSpaceDE w:val="0"/>
        <w:autoSpaceDN w:val="0"/>
        <w:adjustRightInd w:val="0"/>
        <w:spacing w:after="0" w:line="240" w:lineRule="auto"/>
        <w:rPr>
          <w:rFonts w:cs="OfficinaSanITCBoo"/>
          <w:b/>
          <w:color w:val="000000"/>
          <w:u w:val="single"/>
        </w:rPr>
      </w:pPr>
    </w:p>
    <w:p w:rsidR="0005752F" w:rsidRDefault="0005752F" w:rsidP="00931769">
      <w:pPr>
        <w:autoSpaceDE w:val="0"/>
        <w:autoSpaceDN w:val="0"/>
        <w:adjustRightInd w:val="0"/>
        <w:spacing w:after="0" w:line="240" w:lineRule="auto"/>
        <w:rPr>
          <w:rFonts w:cs="OfficinaSanITCBoo"/>
          <w:b/>
          <w:color w:val="000000"/>
          <w:u w:val="single"/>
        </w:rPr>
      </w:pPr>
    </w:p>
    <w:p w:rsidR="00931769" w:rsidRDefault="00931769" w:rsidP="00931769">
      <w:pPr>
        <w:autoSpaceDE w:val="0"/>
        <w:autoSpaceDN w:val="0"/>
        <w:adjustRightInd w:val="0"/>
        <w:spacing w:after="0" w:line="240" w:lineRule="auto"/>
        <w:rPr>
          <w:rFonts w:cs="OfficinaSanITCBoo"/>
          <w:b/>
          <w:color w:val="000000"/>
          <w:u w:val="single"/>
        </w:rPr>
      </w:pPr>
      <w:r w:rsidRPr="00325B0C">
        <w:rPr>
          <w:rFonts w:cs="OfficinaSanITCBoo"/>
          <w:b/>
          <w:color w:val="000000"/>
          <w:u w:val="single"/>
        </w:rPr>
        <w:lastRenderedPageBreak/>
        <w:t>Historical Periods:</w:t>
      </w:r>
    </w:p>
    <w:p w:rsidR="00931769" w:rsidRDefault="00931769" w:rsidP="00931769">
      <w:pPr>
        <w:autoSpaceDE w:val="0"/>
        <w:autoSpaceDN w:val="0"/>
        <w:adjustRightInd w:val="0"/>
        <w:spacing w:after="0" w:line="240" w:lineRule="auto"/>
        <w:rPr>
          <w:rFonts w:cs="OfficinaSanITCBoo"/>
          <w:b/>
          <w:color w:val="000000"/>
          <w:u w:val="single"/>
        </w:rPr>
      </w:pPr>
    </w:p>
    <w:tbl>
      <w:tblPr>
        <w:tblStyle w:val="TableGrid"/>
        <w:tblW w:w="0" w:type="auto"/>
        <w:tblLook w:val="04A0" w:firstRow="1" w:lastRow="0" w:firstColumn="1" w:lastColumn="0" w:noHBand="0" w:noVBand="1"/>
      </w:tblPr>
      <w:tblGrid>
        <w:gridCol w:w="918"/>
        <w:gridCol w:w="1890"/>
        <w:gridCol w:w="1530"/>
        <w:gridCol w:w="2070"/>
      </w:tblGrid>
      <w:tr w:rsidR="00931769" w:rsidTr="00A531FF">
        <w:tc>
          <w:tcPr>
            <w:tcW w:w="918" w:type="dxa"/>
          </w:tcPr>
          <w:p w:rsidR="00931769" w:rsidRDefault="00931769" w:rsidP="00A531FF">
            <w:pPr>
              <w:autoSpaceDE w:val="0"/>
              <w:autoSpaceDN w:val="0"/>
              <w:adjustRightInd w:val="0"/>
              <w:jc w:val="center"/>
              <w:rPr>
                <w:rFonts w:cs="OfficinaSanITCBoo"/>
                <w:color w:val="000000"/>
              </w:rPr>
            </w:pPr>
            <w:r>
              <w:rPr>
                <w:rFonts w:cs="OfficinaSanITCBoo"/>
                <w:color w:val="000000"/>
              </w:rPr>
              <w:t>Period</w:t>
            </w:r>
          </w:p>
        </w:tc>
        <w:tc>
          <w:tcPr>
            <w:tcW w:w="1890" w:type="dxa"/>
          </w:tcPr>
          <w:p w:rsidR="00931769" w:rsidRDefault="00931769" w:rsidP="00A531FF">
            <w:pPr>
              <w:autoSpaceDE w:val="0"/>
              <w:autoSpaceDN w:val="0"/>
              <w:adjustRightInd w:val="0"/>
              <w:jc w:val="center"/>
              <w:rPr>
                <w:rFonts w:cs="OfficinaSanITCBoo"/>
                <w:color w:val="000000"/>
              </w:rPr>
            </w:pPr>
            <w:r>
              <w:rPr>
                <w:rFonts w:cs="OfficinaSanITCBoo"/>
                <w:color w:val="000000"/>
              </w:rPr>
              <w:t>Date Range</w:t>
            </w:r>
          </w:p>
        </w:tc>
        <w:tc>
          <w:tcPr>
            <w:tcW w:w="1530" w:type="dxa"/>
          </w:tcPr>
          <w:p w:rsidR="00931769" w:rsidRDefault="00931769" w:rsidP="00A531FF">
            <w:pPr>
              <w:autoSpaceDE w:val="0"/>
              <w:autoSpaceDN w:val="0"/>
              <w:adjustRightInd w:val="0"/>
              <w:jc w:val="center"/>
              <w:rPr>
                <w:rFonts w:cs="OfficinaSanITCBoo"/>
                <w:color w:val="000000"/>
              </w:rPr>
            </w:pPr>
            <w:r>
              <w:rPr>
                <w:rFonts w:cs="OfficinaSanITCBoo"/>
                <w:color w:val="000000"/>
              </w:rPr>
              <w:t>Instructional Time</w:t>
            </w:r>
          </w:p>
        </w:tc>
        <w:tc>
          <w:tcPr>
            <w:tcW w:w="2070" w:type="dxa"/>
          </w:tcPr>
          <w:p w:rsidR="00931769" w:rsidRDefault="00931769" w:rsidP="00A531FF">
            <w:pPr>
              <w:autoSpaceDE w:val="0"/>
              <w:autoSpaceDN w:val="0"/>
              <w:adjustRightInd w:val="0"/>
              <w:jc w:val="center"/>
              <w:rPr>
                <w:rFonts w:cs="OfficinaSanITCBoo"/>
                <w:color w:val="000000"/>
              </w:rPr>
            </w:pPr>
            <w:r>
              <w:rPr>
                <w:rFonts w:cs="OfficinaSanITCBoo"/>
                <w:color w:val="000000"/>
              </w:rPr>
              <w:t>AP Exam</w:t>
            </w:r>
          </w:p>
        </w:tc>
      </w:tr>
      <w:tr w:rsidR="00931769" w:rsidTr="00A531FF">
        <w:tc>
          <w:tcPr>
            <w:tcW w:w="918" w:type="dxa"/>
          </w:tcPr>
          <w:p w:rsidR="00931769" w:rsidRPr="005A5970" w:rsidRDefault="00931769" w:rsidP="00931769">
            <w:pPr>
              <w:pStyle w:val="ListParagraph"/>
              <w:numPr>
                <w:ilvl w:val="0"/>
                <w:numId w:val="6"/>
              </w:numPr>
              <w:autoSpaceDE w:val="0"/>
              <w:autoSpaceDN w:val="0"/>
              <w:adjustRightInd w:val="0"/>
              <w:spacing w:after="0" w:line="240" w:lineRule="auto"/>
              <w:jc w:val="center"/>
              <w:rPr>
                <w:rFonts w:cs="OfficinaSanITCBoo"/>
                <w:color w:val="000000"/>
              </w:rPr>
            </w:pPr>
          </w:p>
        </w:tc>
        <w:tc>
          <w:tcPr>
            <w:tcW w:w="1890" w:type="dxa"/>
          </w:tcPr>
          <w:p w:rsidR="00931769" w:rsidRDefault="00931769" w:rsidP="00A531FF">
            <w:pPr>
              <w:autoSpaceDE w:val="0"/>
              <w:autoSpaceDN w:val="0"/>
              <w:adjustRightInd w:val="0"/>
              <w:jc w:val="center"/>
              <w:rPr>
                <w:rFonts w:cs="OfficinaSanITCBoo"/>
                <w:color w:val="000000"/>
              </w:rPr>
            </w:pPr>
            <w:r>
              <w:rPr>
                <w:rFonts w:cs="OfficinaSanITCBoo"/>
                <w:color w:val="000000"/>
              </w:rPr>
              <w:t>1491 – 1607</w:t>
            </w:r>
          </w:p>
        </w:tc>
        <w:tc>
          <w:tcPr>
            <w:tcW w:w="1530" w:type="dxa"/>
          </w:tcPr>
          <w:p w:rsidR="00931769" w:rsidRDefault="00931769" w:rsidP="00A531FF">
            <w:pPr>
              <w:autoSpaceDE w:val="0"/>
              <w:autoSpaceDN w:val="0"/>
              <w:adjustRightInd w:val="0"/>
              <w:jc w:val="center"/>
              <w:rPr>
                <w:rFonts w:cs="OfficinaSanITCBoo"/>
                <w:color w:val="000000"/>
              </w:rPr>
            </w:pPr>
            <w:r>
              <w:rPr>
                <w:rFonts w:cs="OfficinaSanITCBoo"/>
                <w:color w:val="000000"/>
              </w:rPr>
              <w:t>5%</w:t>
            </w:r>
          </w:p>
        </w:tc>
        <w:tc>
          <w:tcPr>
            <w:tcW w:w="2070" w:type="dxa"/>
            <w:tcBorders>
              <w:bottom w:val="single" w:sz="4" w:space="0" w:color="auto"/>
            </w:tcBorders>
          </w:tcPr>
          <w:p w:rsidR="00931769" w:rsidRDefault="00931769" w:rsidP="00A531FF">
            <w:pPr>
              <w:autoSpaceDE w:val="0"/>
              <w:autoSpaceDN w:val="0"/>
              <w:adjustRightInd w:val="0"/>
              <w:rPr>
                <w:rFonts w:cs="OfficinaSanITCBoo"/>
                <w:color w:val="000000"/>
              </w:rPr>
            </w:pPr>
            <w:r>
              <w:rPr>
                <w:rFonts w:cs="OfficinaSanITCBoo"/>
                <w:color w:val="000000"/>
              </w:rPr>
              <w:t>5%</w:t>
            </w:r>
          </w:p>
        </w:tc>
      </w:tr>
      <w:tr w:rsidR="00931769" w:rsidTr="00A531FF">
        <w:trPr>
          <w:trHeight w:val="242"/>
        </w:trPr>
        <w:tc>
          <w:tcPr>
            <w:tcW w:w="918" w:type="dxa"/>
          </w:tcPr>
          <w:p w:rsidR="00931769" w:rsidRPr="005A5970" w:rsidRDefault="00931769" w:rsidP="00931769">
            <w:pPr>
              <w:pStyle w:val="ListParagraph"/>
              <w:numPr>
                <w:ilvl w:val="0"/>
                <w:numId w:val="6"/>
              </w:numPr>
              <w:autoSpaceDE w:val="0"/>
              <w:autoSpaceDN w:val="0"/>
              <w:adjustRightInd w:val="0"/>
              <w:spacing w:after="0" w:line="240" w:lineRule="auto"/>
              <w:rPr>
                <w:rFonts w:cs="OfficinaSanITCBoo"/>
                <w:color w:val="000000"/>
              </w:rPr>
            </w:pPr>
          </w:p>
        </w:tc>
        <w:tc>
          <w:tcPr>
            <w:tcW w:w="1890" w:type="dxa"/>
          </w:tcPr>
          <w:p w:rsidR="00931769" w:rsidRDefault="00931769" w:rsidP="00A531FF">
            <w:pPr>
              <w:autoSpaceDE w:val="0"/>
              <w:autoSpaceDN w:val="0"/>
              <w:adjustRightInd w:val="0"/>
              <w:jc w:val="center"/>
              <w:rPr>
                <w:rFonts w:cs="OfficinaSanITCBoo"/>
                <w:color w:val="000000"/>
              </w:rPr>
            </w:pPr>
            <w:r>
              <w:rPr>
                <w:rFonts w:cs="OfficinaSanITCBoo"/>
                <w:color w:val="000000"/>
              </w:rPr>
              <w:t>1607 – 1754</w:t>
            </w:r>
          </w:p>
        </w:tc>
        <w:tc>
          <w:tcPr>
            <w:tcW w:w="1530" w:type="dxa"/>
            <w:tcBorders>
              <w:right w:val="single" w:sz="4" w:space="0" w:color="auto"/>
            </w:tcBorders>
          </w:tcPr>
          <w:p w:rsidR="00931769" w:rsidRDefault="00931769" w:rsidP="00A531FF">
            <w:pPr>
              <w:autoSpaceDE w:val="0"/>
              <w:autoSpaceDN w:val="0"/>
              <w:adjustRightInd w:val="0"/>
              <w:jc w:val="center"/>
              <w:rPr>
                <w:rFonts w:cs="OfficinaSanITCBoo"/>
                <w:color w:val="000000"/>
              </w:rPr>
            </w:pPr>
            <w:r>
              <w:rPr>
                <w:rFonts w:cs="OfficinaSanITCBoo"/>
                <w:color w:val="000000"/>
              </w:rPr>
              <w:t>10%</w:t>
            </w:r>
          </w:p>
        </w:tc>
        <w:tc>
          <w:tcPr>
            <w:tcW w:w="2070" w:type="dxa"/>
            <w:tcBorders>
              <w:top w:val="single" w:sz="4" w:space="0" w:color="auto"/>
              <w:left w:val="single" w:sz="4" w:space="0" w:color="auto"/>
              <w:bottom w:val="nil"/>
              <w:right w:val="single" w:sz="4" w:space="0" w:color="auto"/>
            </w:tcBorders>
          </w:tcPr>
          <w:p w:rsidR="00931769" w:rsidRDefault="00931769" w:rsidP="00A531FF">
            <w:pPr>
              <w:autoSpaceDE w:val="0"/>
              <w:autoSpaceDN w:val="0"/>
              <w:adjustRightInd w:val="0"/>
              <w:rPr>
                <w:rFonts w:cs="OfficinaSanITCBoo"/>
                <w:color w:val="000000"/>
              </w:rPr>
            </w:pPr>
          </w:p>
        </w:tc>
      </w:tr>
      <w:tr w:rsidR="00931769" w:rsidTr="00A531FF">
        <w:tc>
          <w:tcPr>
            <w:tcW w:w="918" w:type="dxa"/>
          </w:tcPr>
          <w:p w:rsidR="00931769" w:rsidRPr="005A5970" w:rsidRDefault="00931769" w:rsidP="00931769">
            <w:pPr>
              <w:pStyle w:val="ListParagraph"/>
              <w:numPr>
                <w:ilvl w:val="0"/>
                <w:numId w:val="6"/>
              </w:numPr>
              <w:autoSpaceDE w:val="0"/>
              <w:autoSpaceDN w:val="0"/>
              <w:adjustRightInd w:val="0"/>
              <w:spacing w:after="0" w:line="240" w:lineRule="auto"/>
              <w:rPr>
                <w:rFonts w:cs="OfficinaSanITCBoo"/>
                <w:color w:val="000000"/>
              </w:rPr>
            </w:pPr>
          </w:p>
        </w:tc>
        <w:tc>
          <w:tcPr>
            <w:tcW w:w="1890" w:type="dxa"/>
          </w:tcPr>
          <w:p w:rsidR="00931769" w:rsidRDefault="00931769" w:rsidP="00A531FF">
            <w:pPr>
              <w:autoSpaceDE w:val="0"/>
              <w:autoSpaceDN w:val="0"/>
              <w:adjustRightInd w:val="0"/>
              <w:jc w:val="center"/>
              <w:rPr>
                <w:rFonts w:cs="OfficinaSanITCBoo"/>
                <w:color w:val="000000"/>
              </w:rPr>
            </w:pPr>
            <w:r>
              <w:rPr>
                <w:rFonts w:cs="OfficinaSanITCBoo"/>
                <w:color w:val="000000"/>
              </w:rPr>
              <w:t>1754 – 1800</w:t>
            </w:r>
          </w:p>
        </w:tc>
        <w:tc>
          <w:tcPr>
            <w:tcW w:w="1530" w:type="dxa"/>
          </w:tcPr>
          <w:p w:rsidR="00931769" w:rsidRDefault="00931769" w:rsidP="00A531FF">
            <w:pPr>
              <w:autoSpaceDE w:val="0"/>
              <w:autoSpaceDN w:val="0"/>
              <w:adjustRightInd w:val="0"/>
              <w:jc w:val="center"/>
              <w:rPr>
                <w:rFonts w:cs="OfficinaSanITCBoo"/>
                <w:color w:val="000000"/>
              </w:rPr>
            </w:pPr>
            <w:r>
              <w:rPr>
                <w:rFonts w:cs="OfficinaSanITCBoo"/>
                <w:color w:val="000000"/>
              </w:rPr>
              <w:t>12%</w:t>
            </w:r>
          </w:p>
        </w:tc>
        <w:tc>
          <w:tcPr>
            <w:tcW w:w="2070" w:type="dxa"/>
            <w:tcBorders>
              <w:top w:val="nil"/>
              <w:bottom w:val="nil"/>
            </w:tcBorders>
          </w:tcPr>
          <w:p w:rsidR="00931769" w:rsidRDefault="00931769" w:rsidP="00A531FF">
            <w:pPr>
              <w:autoSpaceDE w:val="0"/>
              <w:autoSpaceDN w:val="0"/>
              <w:adjustRightInd w:val="0"/>
              <w:rPr>
                <w:rFonts w:cs="OfficinaSanITCBoo"/>
                <w:color w:val="000000"/>
              </w:rPr>
            </w:pPr>
          </w:p>
        </w:tc>
      </w:tr>
      <w:tr w:rsidR="00931769" w:rsidTr="00A531FF">
        <w:tc>
          <w:tcPr>
            <w:tcW w:w="918" w:type="dxa"/>
          </w:tcPr>
          <w:p w:rsidR="00931769" w:rsidRPr="005A5970" w:rsidRDefault="00931769" w:rsidP="00931769">
            <w:pPr>
              <w:pStyle w:val="ListParagraph"/>
              <w:numPr>
                <w:ilvl w:val="0"/>
                <w:numId w:val="6"/>
              </w:numPr>
              <w:autoSpaceDE w:val="0"/>
              <w:autoSpaceDN w:val="0"/>
              <w:adjustRightInd w:val="0"/>
              <w:spacing w:after="0" w:line="240" w:lineRule="auto"/>
              <w:rPr>
                <w:rFonts w:cs="OfficinaSanITCBoo"/>
                <w:color w:val="000000"/>
              </w:rPr>
            </w:pPr>
          </w:p>
        </w:tc>
        <w:tc>
          <w:tcPr>
            <w:tcW w:w="1890" w:type="dxa"/>
          </w:tcPr>
          <w:p w:rsidR="00931769" w:rsidRDefault="00931769" w:rsidP="00A531FF">
            <w:pPr>
              <w:autoSpaceDE w:val="0"/>
              <w:autoSpaceDN w:val="0"/>
              <w:adjustRightInd w:val="0"/>
              <w:jc w:val="center"/>
              <w:rPr>
                <w:rFonts w:cs="OfficinaSanITCBoo"/>
                <w:color w:val="000000"/>
              </w:rPr>
            </w:pPr>
            <w:r>
              <w:rPr>
                <w:rFonts w:cs="OfficinaSanITCBoo"/>
                <w:color w:val="000000"/>
              </w:rPr>
              <w:t>1800 – 1848</w:t>
            </w:r>
          </w:p>
        </w:tc>
        <w:tc>
          <w:tcPr>
            <w:tcW w:w="1530" w:type="dxa"/>
            <w:tcBorders>
              <w:right w:val="single" w:sz="4" w:space="0" w:color="auto"/>
            </w:tcBorders>
          </w:tcPr>
          <w:p w:rsidR="00931769" w:rsidRDefault="00931769" w:rsidP="00A531FF">
            <w:pPr>
              <w:autoSpaceDE w:val="0"/>
              <w:autoSpaceDN w:val="0"/>
              <w:adjustRightInd w:val="0"/>
              <w:jc w:val="center"/>
              <w:rPr>
                <w:rFonts w:cs="OfficinaSanITCBoo"/>
                <w:color w:val="000000"/>
              </w:rPr>
            </w:pPr>
            <w:r>
              <w:rPr>
                <w:rFonts w:cs="OfficinaSanITCBoo"/>
                <w:color w:val="000000"/>
              </w:rPr>
              <w:t>10%</w:t>
            </w:r>
          </w:p>
        </w:tc>
        <w:tc>
          <w:tcPr>
            <w:tcW w:w="2070" w:type="dxa"/>
            <w:tcBorders>
              <w:top w:val="nil"/>
              <w:left w:val="single" w:sz="4" w:space="0" w:color="auto"/>
              <w:bottom w:val="nil"/>
              <w:right w:val="single" w:sz="4" w:space="0" w:color="auto"/>
            </w:tcBorders>
          </w:tcPr>
          <w:p w:rsidR="00931769" w:rsidRDefault="00931769" w:rsidP="00A531FF">
            <w:pPr>
              <w:autoSpaceDE w:val="0"/>
              <w:autoSpaceDN w:val="0"/>
              <w:adjustRightInd w:val="0"/>
              <w:rPr>
                <w:rFonts w:cs="OfficinaSanITCBoo"/>
                <w:color w:val="000000"/>
              </w:rPr>
            </w:pPr>
            <w:r>
              <w:rPr>
                <w:rFonts w:cs="OfficinaSanITCBoo"/>
                <w:color w:val="000000"/>
              </w:rPr>
              <w:t>45%</w:t>
            </w:r>
          </w:p>
        </w:tc>
      </w:tr>
      <w:tr w:rsidR="00931769" w:rsidTr="00A531FF">
        <w:tc>
          <w:tcPr>
            <w:tcW w:w="918" w:type="dxa"/>
          </w:tcPr>
          <w:p w:rsidR="00931769" w:rsidRPr="005A5970" w:rsidRDefault="00931769" w:rsidP="00931769">
            <w:pPr>
              <w:pStyle w:val="ListParagraph"/>
              <w:numPr>
                <w:ilvl w:val="0"/>
                <w:numId w:val="6"/>
              </w:numPr>
              <w:autoSpaceDE w:val="0"/>
              <w:autoSpaceDN w:val="0"/>
              <w:adjustRightInd w:val="0"/>
              <w:spacing w:after="0" w:line="240" w:lineRule="auto"/>
              <w:rPr>
                <w:rFonts w:cs="OfficinaSanITCBoo"/>
                <w:color w:val="000000"/>
              </w:rPr>
            </w:pPr>
          </w:p>
        </w:tc>
        <w:tc>
          <w:tcPr>
            <w:tcW w:w="1890" w:type="dxa"/>
          </w:tcPr>
          <w:p w:rsidR="00931769" w:rsidRDefault="00931769" w:rsidP="00A531FF">
            <w:pPr>
              <w:autoSpaceDE w:val="0"/>
              <w:autoSpaceDN w:val="0"/>
              <w:adjustRightInd w:val="0"/>
              <w:jc w:val="center"/>
              <w:rPr>
                <w:rFonts w:cs="OfficinaSanITCBoo"/>
                <w:color w:val="000000"/>
              </w:rPr>
            </w:pPr>
            <w:r>
              <w:rPr>
                <w:rFonts w:cs="OfficinaSanITCBoo"/>
                <w:color w:val="000000"/>
              </w:rPr>
              <w:t>1844 – 1877</w:t>
            </w:r>
          </w:p>
        </w:tc>
        <w:tc>
          <w:tcPr>
            <w:tcW w:w="1530" w:type="dxa"/>
          </w:tcPr>
          <w:p w:rsidR="00931769" w:rsidRDefault="00931769" w:rsidP="00A531FF">
            <w:pPr>
              <w:autoSpaceDE w:val="0"/>
              <w:autoSpaceDN w:val="0"/>
              <w:adjustRightInd w:val="0"/>
              <w:jc w:val="center"/>
              <w:rPr>
                <w:rFonts w:cs="OfficinaSanITCBoo"/>
                <w:color w:val="000000"/>
              </w:rPr>
            </w:pPr>
            <w:r>
              <w:rPr>
                <w:rFonts w:cs="OfficinaSanITCBoo"/>
                <w:color w:val="000000"/>
              </w:rPr>
              <w:t>13%</w:t>
            </w:r>
          </w:p>
        </w:tc>
        <w:tc>
          <w:tcPr>
            <w:tcW w:w="2070" w:type="dxa"/>
            <w:tcBorders>
              <w:top w:val="nil"/>
            </w:tcBorders>
          </w:tcPr>
          <w:p w:rsidR="00931769" w:rsidRDefault="00931769" w:rsidP="00A531FF">
            <w:pPr>
              <w:autoSpaceDE w:val="0"/>
              <w:autoSpaceDN w:val="0"/>
              <w:adjustRightInd w:val="0"/>
              <w:rPr>
                <w:rFonts w:cs="OfficinaSanITCBoo"/>
                <w:color w:val="000000"/>
              </w:rPr>
            </w:pPr>
          </w:p>
        </w:tc>
      </w:tr>
      <w:tr w:rsidR="00931769" w:rsidTr="00A531FF">
        <w:tc>
          <w:tcPr>
            <w:tcW w:w="918" w:type="dxa"/>
          </w:tcPr>
          <w:p w:rsidR="00931769" w:rsidRPr="005A5970" w:rsidRDefault="00931769" w:rsidP="00931769">
            <w:pPr>
              <w:pStyle w:val="ListParagraph"/>
              <w:numPr>
                <w:ilvl w:val="0"/>
                <w:numId w:val="6"/>
              </w:numPr>
              <w:autoSpaceDE w:val="0"/>
              <w:autoSpaceDN w:val="0"/>
              <w:adjustRightInd w:val="0"/>
              <w:spacing w:after="0" w:line="240" w:lineRule="auto"/>
              <w:rPr>
                <w:rFonts w:cs="OfficinaSanITCBoo"/>
                <w:color w:val="000000"/>
              </w:rPr>
            </w:pPr>
          </w:p>
        </w:tc>
        <w:tc>
          <w:tcPr>
            <w:tcW w:w="1890" w:type="dxa"/>
          </w:tcPr>
          <w:p w:rsidR="00931769" w:rsidRDefault="00931769" w:rsidP="00A531FF">
            <w:pPr>
              <w:autoSpaceDE w:val="0"/>
              <w:autoSpaceDN w:val="0"/>
              <w:adjustRightInd w:val="0"/>
              <w:jc w:val="center"/>
              <w:rPr>
                <w:rFonts w:cs="OfficinaSanITCBoo"/>
                <w:color w:val="000000"/>
              </w:rPr>
            </w:pPr>
            <w:r>
              <w:rPr>
                <w:rFonts w:cs="OfficinaSanITCBoo"/>
                <w:color w:val="000000"/>
              </w:rPr>
              <w:t>1865 – 1898</w:t>
            </w:r>
          </w:p>
        </w:tc>
        <w:tc>
          <w:tcPr>
            <w:tcW w:w="1530" w:type="dxa"/>
          </w:tcPr>
          <w:p w:rsidR="00931769" w:rsidRDefault="00931769" w:rsidP="00A531FF">
            <w:pPr>
              <w:autoSpaceDE w:val="0"/>
              <w:autoSpaceDN w:val="0"/>
              <w:adjustRightInd w:val="0"/>
              <w:jc w:val="center"/>
              <w:rPr>
                <w:rFonts w:cs="OfficinaSanITCBoo"/>
                <w:color w:val="000000"/>
              </w:rPr>
            </w:pPr>
            <w:r>
              <w:rPr>
                <w:rFonts w:cs="OfficinaSanITCBoo"/>
                <w:color w:val="000000"/>
              </w:rPr>
              <w:t>13%</w:t>
            </w:r>
          </w:p>
        </w:tc>
        <w:tc>
          <w:tcPr>
            <w:tcW w:w="2070" w:type="dxa"/>
            <w:tcBorders>
              <w:bottom w:val="nil"/>
            </w:tcBorders>
          </w:tcPr>
          <w:p w:rsidR="00931769" w:rsidRDefault="00931769" w:rsidP="00A531FF">
            <w:pPr>
              <w:autoSpaceDE w:val="0"/>
              <w:autoSpaceDN w:val="0"/>
              <w:adjustRightInd w:val="0"/>
              <w:rPr>
                <w:rFonts w:cs="OfficinaSanITCBoo"/>
                <w:color w:val="000000"/>
              </w:rPr>
            </w:pPr>
          </w:p>
        </w:tc>
      </w:tr>
      <w:tr w:rsidR="00931769" w:rsidTr="00A531FF">
        <w:tc>
          <w:tcPr>
            <w:tcW w:w="918" w:type="dxa"/>
          </w:tcPr>
          <w:p w:rsidR="00931769" w:rsidRPr="005A5970" w:rsidRDefault="00931769" w:rsidP="00931769">
            <w:pPr>
              <w:pStyle w:val="ListParagraph"/>
              <w:numPr>
                <w:ilvl w:val="0"/>
                <w:numId w:val="6"/>
              </w:numPr>
              <w:autoSpaceDE w:val="0"/>
              <w:autoSpaceDN w:val="0"/>
              <w:adjustRightInd w:val="0"/>
              <w:spacing w:after="0" w:line="240" w:lineRule="auto"/>
              <w:rPr>
                <w:rFonts w:cs="OfficinaSanITCBoo"/>
                <w:color w:val="000000"/>
              </w:rPr>
            </w:pPr>
          </w:p>
        </w:tc>
        <w:tc>
          <w:tcPr>
            <w:tcW w:w="1890" w:type="dxa"/>
          </w:tcPr>
          <w:p w:rsidR="00931769" w:rsidRDefault="00931769" w:rsidP="00A531FF">
            <w:pPr>
              <w:autoSpaceDE w:val="0"/>
              <w:autoSpaceDN w:val="0"/>
              <w:adjustRightInd w:val="0"/>
              <w:jc w:val="center"/>
              <w:rPr>
                <w:rFonts w:cs="OfficinaSanITCBoo"/>
                <w:color w:val="000000"/>
              </w:rPr>
            </w:pPr>
            <w:r>
              <w:rPr>
                <w:rFonts w:cs="OfficinaSanITCBoo"/>
                <w:color w:val="000000"/>
              </w:rPr>
              <w:t>1890 – 1945</w:t>
            </w:r>
          </w:p>
        </w:tc>
        <w:tc>
          <w:tcPr>
            <w:tcW w:w="1530" w:type="dxa"/>
            <w:tcBorders>
              <w:right w:val="single" w:sz="4" w:space="0" w:color="auto"/>
            </w:tcBorders>
          </w:tcPr>
          <w:p w:rsidR="00931769" w:rsidRDefault="00931769" w:rsidP="00A531FF">
            <w:pPr>
              <w:autoSpaceDE w:val="0"/>
              <w:autoSpaceDN w:val="0"/>
              <w:adjustRightInd w:val="0"/>
              <w:jc w:val="center"/>
              <w:rPr>
                <w:rFonts w:cs="OfficinaSanITCBoo"/>
                <w:color w:val="000000"/>
              </w:rPr>
            </w:pPr>
            <w:r>
              <w:rPr>
                <w:rFonts w:cs="OfficinaSanITCBoo"/>
                <w:color w:val="000000"/>
              </w:rPr>
              <w:t>17%</w:t>
            </w:r>
          </w:p>
        </w:tc>
        <w:tc>
          <w:tcPr>
            <w:tcW w:w="2070" w:type="dxa"/>
            <w:tcBorders>
              <w:top w:val="nil"/>
              <w:left w:val="single" w:sz="4" w:space="0" w:color="auto"/>
              <w:bottom w:val="nil"/>
              <w:right w:val="single" w:sz="4" w:space="0" w:color="auto"/>
            </w:tcBorders>
          </w:tcPr>
          <w:p w:rsidR="00931769" w:rsidRDefault="00931769" w:rsidP="00A531FF">
            <w:pPr>
              <w:autoSpaceDE w:val="0"/>
              <w:autoSpaceDN w:val="0"/>
              <w:adjustRightInd w:val="0"/>
              <w:rPr>
                <w:rFonts w:cs="OfficinaSanITCBoo"/>
                <w:color w:val="000000"/>
              </w:rPr>
            </w:pPr>
            <w:r>
              <w:rPr>
                <w:rFonts w:cs="OfficinaSanITCBoo"/>
                <w:color w:val="000000"/>
              </w:rPr>
              <w:t>45%</w:t>
            </w:r>
          </w:p>
        </w:tc>
      </w:tr>
      <w:tr w:rsidR="00931769" w:rsidTr="00A531FF">
        <w:tc>
          <w:tcPr>
            <w:tcW w:w="918" w:type="dxa"/>
          </w:tcPr>
          <w:p w:rsidR="00931769" w:rsidRPr="005A5970" w:rsidRDefault="00931769" w:rsidP="00931769">
            <w:pPr>
              <w:pStyle w:val="ListParagraph"/>
              <w:numPr>
                <w:ilvl w:val="0"/>
                <w:numId w:val="6"/>
              </w:numPr>
              <w:autoSpaceDE w:val="0"/>
              <w:autoSpaceDN w:val="0"/>
              <w:adjustRightInd w:val="0"/>
              <w:spacing w:after="0" w:line="240" w:lineRule="auto"/>
              <w:rPr>
                <w:rFonts w:cs="OfficinaSanITCBoo"/>
                <w:color w:val="000000"/>
              </w:rPr>
            </w:pPr>
          </w:p>
        </w:tc>
        <w:tc>
          <w:tcPr>
            <w:tcW w:w="1890" w:type="dxa"/>
          </w:tcPr>
          <w:p w:rsidR="00931769" w:rsidRDefault="00931769" w:rsidP="00A531FF">
            <w:pPr>
              <w:autoSpaceDE w:val="0"/>
              <w:autoSpaceDN w:val="0"/>
              <w:adjustRightInd w:val="0"/>
              <w:jc w:val="center"/>
              <w:rPr>
                <w:rFonts w:cs="OfficinaSanITCBoo"/>
                <w:color w:val="000000"/>
              </w:rPr>
            </w:pPr>
            <w:r>
              <w:rPr>
                <w:rFonts w:cs="OfficinaSanITCBoo"/>
                <w:color w:val="000000"/>
              </w:rPr>
              <w:t>1945 – 1980</w:t>
            </w:r>
          </w:p>
        </w:tc>
        <w:tc>
          <w:tcPr>
            <w:tcW w:w="1530" w:type="dxa"/>
          </w:tcPr>
          <w:p w:rsidR="00931769" w:rsidRDefault="00931769" w:rsidP="00A531FF">
            <w:pPr>
              <w:autoSpaceDE w:val="0"/>
              <w:autoSpaceDN w:val="0"/>
              <w:adjustRightInd w:val="0"/>
              <w:jc w:val="center"/>
              <w:rPr>
                <w:rFonts w:cs="OfficinaSanITCBoo"/>
                <w:color w:val="000000"/>
              </w:rPr>
            </w:pPr>
            <w:r>
              <w:rPr>
                <w:rFonts w:cs="OfficinaSanITCBoo"/>
                <w:color w:val="000000"/>
              </w:rPr>
              <w:t>15%</w:t>
            </w:r>
          </w:p>
        </w:tc>
        <w:tc>
          <w:tcPr>
            <w:tcW w:w="2070" w:type="dxa"/>
            <w:tcBorders>
              <w:top w:val="nil"/>
            </w:tcBorders>
          </w:tcPr>
          <w:p w:rsidR="00931769" w:rsidRDefault="00931769" w:rsidP="00A531FF">
            <w:pPr>
              <w:autoSpaceDE w:val="0"/>
              <w:autoSpaceDN w:val="0"/>
              <w:adjustRightInd w:val="0"/>
              <w:rPr>
                <w:rFonts w:cs="OfficinaSanITCBoo"/>
                <w:color w:val="000000"/>
              </w:rPr>
            </w:pPr>
          </w:p>
        </w:tc>
      </w:tr>
      <w:tr w:rsidR="00931769" w:rsidTr="00A531FF">
        <w:tc>
          <w:tcPr>
            <w:tcW w:w="918" w:type="dxa"/>
          </w:tcPr>
          <w:p w:rsidR="00931769" w:rsidRPr="005A5970" w:rsidRDefault="00931769" w:rsidP="00931769">
            <w:pPr>
              <w:pStyle w:val="ListParagraph"/>
              <w:numPr>
                <w:ilvl w:val="0"/>
                <w:numId w:val="6"/>
              </w:numPr>
              <w:autoSpaceDE w:val="0"/>
              <w:autoSpaceDN w:val="0"/>
              <w:adjustRightInd w:val="0"/>
              <w:spacing w:after="0" w:line="240" w:lineRule="auto"/>
              <w:rPr>
                <w:rFonts w:cs="OfficinaSanITCBoo"/>
                <w:color w:val="000000"/>
              </w:rPr>
            </w:pPr>
          </w:p>
        </w:tc>
        <w:tc>
          <w:tcPr>
            <w:tcW w:w="1890" w:type="dxa"/>
          </w:tcPr>
          <w:p w:rsidR="00931769" w:rsidRDefault="00931769" w:rsidP="00A531FF">
            <w:pPr>
              <w:autoSpaceDE w:val="0"/>
              <w:autoSpaceDN w:val="0"/>
              <w:adjustRightInd w:val="0"/>
              <w:jc w:val="center"/>
              <w:rPr>
                <w:rFonts w:cs="OfficinaSanITCBoo"/>
                <w:color w:val="000000"/>
              </w:rPr>
            </w:pPr>
            <w:r>
              <w:rPr>
                <w:rFonts w:cs="OfficinaSanITCBoo"/>
                <w:color w:val="000000"/>
              </w:rPr>
              <w:t>1980 – present</w:t>
            </w:r>
          </w:p>
        </w:tc>
        <w:tc>
          <w:tcPr>
            <w:tcW w:w="1530" w:type="dxa"/>
          </w:tcPr>
          <w:p w:rsidR="00931769" w:rsidRDefault="00931769" w:rsidP="00A531FF">
            <w:pPr>
              <w:autoSpaceDE w:val="0"/>
              <w:autoSpaceDN w:val="0"/>
              <w:adjustRightInd w:val="0"/>
              <w:jc w:val="center"/>
              <w:rPr>
                <w:rFonts w:cs="OfficinaSanITCBoo"/>
                <w:color w:val="000000"/>
              </w:rPr>
            </w:pPr>
            <w:r>
              <w:rPr>
                <w:rFonts w:cs="OfficinaSanITCBoo"/>
                <w:color w:val="000000"/>
              </w:rPr>
              <w:t>5%</w:t>
            </w:r>
          </w:p>
        </w:tc>
        <w:tc>
          <w:tcPr>
            <w:tcW w:w="2070" w:type="dxa"/>
          </w:tcPr>
          <w:p w:rsidR="00931769" w:rsidRDefault="00931769" w:rsidP="00A531FF">
            <w:pPr>
              <w:autoSpaceDE w:val="0"/>
              <w:autoSpaceDN w:val="0"/>
              <w:adjustRightInd w:val="0"/>
              <w:rPr>
                <w:rFonts w:cs="OfficinaSanITCBoo"/>
                <w:color w:val="000000"/>
              </w:rPr>
            </w:pPr>
            <w:r>
              <w:rPr>
                <w:rFonts w:cs="OfficinaSanITCBoo"/>
                <w:color w:val="000000"/>
              </w:rPr>
              <w:t>5%</w:t>
            </w:r>
          </w:p>
        </w:tc>
      </w:tr>
    </w:tbl>
    <w:p w:rsidR="00931769" w:rsidRPr="005A5970" w:rsidRDefault="00931769" w:rsidP="00931769">
      <w:pPr>
        <w:autoSpaceDE w:val="0"/>
        <w:autoSpaceDN w:val="0"/>
        <w:adjustRightInd w:val="0"/>
        <w:spacing w:after="0" w:line="240" w:lineRule="auto"/>
        <w:rPr>
          <w:rFonts w:cs="OfficinaSanITCBoo"/>
          <w:color w:val="000000"/>
        </w:rPr>
      </w:pPr>
    </w:p>
    <w:p w:rsidR="00931769" w:rsidRDefault="00931769" w:rsidP="00931769">
      <w:pPr>
        <w:spacing w:after="0" w:line="240" w:lineRule="auto"/>
        <w:jc w:val="both"/>
        <w:rPr>
          <w:rFonts w:eastAsia="Times New Roman" w:cs="Minion Pro"/>
          <w:b/>
          <w:color w:val="000000"/>
          <w:u w:val="single"/>
        </w:rPr>
      </w:pPr>
    </w:p>
    <w:p w:rsidR="00CA2F5E" w:rsidRDefault="00CA2F5E" w:rsidP="00931769">
      <w:pPr>
        <w:spacing w:after="0" w:line="240" w:lineRule="auto"/>
        <w:jc w:val="both"/>
        <w:rPr>
          <w:rFonts w:eastAsia="Times New Roman" w:cs="Minion Pro"/>
          <w:b/>
          <w:color w:val="000000"/>
          <w:u w:val="single"/>
        </w:rPr>
      </w:pPr>
    </w:p>
    <w:p w:rsidR="00931769" w:rsidRPr="001906AC" w:rsidRDefault="00931769" w:rsidP="00931769">
      <w:pPr>
        <w:spacing w:after="0" w:line="240" w:lineRule="auto"/>
        <w:jc w:val="both"/>
        <w:rPr>
          <w:rFonts w:eastAsia="Times New Roman" w:cs="Minion Pro"/>
          <w:b/>
          <w:color w:val="000000"/>
          <w:u w:val="single"/>
        </w:rPr>
      </w:pPr>
      <w:r w:rsidRPr="001906AC">
        <w:rPr>
          <w:rFonts w:eastAsia="Times New Roman" w:cs="Minion Pro"/>
          <w:b/>
          <w:color w:val="000000"/>
          <w:u w:val="single"/>
        </w:rPr>
        <w:t>A.P.U.S.H. Exam:</w:t>
      </w:r>
    </w:p>
    <w:p w:rsidR="00931769" w:rsidRDefault="00931769" w:rsidP="00931769">
      <w:pPr>
        <w:spacing w:after="0" w:line="240" w:lineRule="auto"/>
        <w:jc w:val="both"/>
        <w:rPr>
          <w:rFonts w:eastAsia="Times New Roman" w:cs="Minion Pro"/>
          <w:color w:val="000000"/>
        </w:rPr>
      </w:pPr>
      <w:r w:rsidRPr="001906AC">
        <w:rPr>
          <w:rFonts w:eastAsia="Times New Roman" w:cs="Minion Pro"/>
          <w:color w:val="000000"/>
        </w:rPr>
        <w:t>The A</w:t>
      </w:r>
      <w:r w:rsidR="008D1063">
        <w:rPr>
          <w:rFonts w:eastAsia="Times New Roman" w:cs="Minion Pro"/>
          <w:color w:val="000000"/>
        </w:rPr>
        <w:t xml:space="preserve">PUSH exam </w:t>
      </w:r>
      <w:proofErr w:type="gramStart"/>
      <w:r w:rsidR="008D1063">
        <w:rPr>
          <w:rFonts w:eastAsia="Times New Roman" w:cs="Minion Pro"/>
          <w:color w:val="000000"/>
        </w:rPr>
        <w:t xml:space="preserve">will be </w:t>
      </w:r>
      <w:r w:rsidR="0003057A">
        <w:rPr>
          <w:rFonts w:eastAsia="Times New Roman" w:cs="Minion Pro"/>
          <w:color w:val="000000"/>
        </w:rPr>
        <w:t>given</w:t>
      </w:r>
      <w:proofErr w:type="gramEnd"/>
      <w:r w:rsidR="0003057A">
        <w:rPr>
          <w:rFonts w:eastAsia="Times New Roman" w:cs="Minion Pro"/>
          <w:color w:val="000000"/>
        </w:rPr>
        <w:t xml:space="preserve"> on May 10</w:t>
      </w:r>
      <w:r w:rsidR="00CA2F5E">
        <w:rPr>
          <w:rFonts w:eastAsia="Times New Roman" w:cs="Minion Pro"/>
          <w:color w:val="000000"/>
        </w:rPr>
        <w:t>, 201</w:t>
      </w:r>
      <w:r w:rsidR="0003057A">
        <w:rPr>
          <w:rFonts w:eastAsia="Times New Roman" w:cs="Minion Pro"/>
          <w:color w:val="000000"/>
        </w:rPr>
        <w:t>9</w:t>
      </w:r>
      <w:r w:rsidRPr="001906AC">
        <w:rPr>
          <w:rFonts w:eastAsia="Times New Roman" w:cs="Minion Pro"/>
          <w:color w:val="000000"/>
        </w:rPr>
        <w:t>. It is mandatory for all APUSH students to take the exam. If a student does not take the APUSH exam, he or she will earn a zero percent as a test grade. The exam is th</w:t>
      </w:r>
      <w:r>
        <w:rPr>
          <w:rFonts w:eastAsia="Times New Roman" w:cs="Minion Pro"/>
          <w:color w:val="000000"/>
        </w:rPr>
        <w:t>ree hours and fifteen</w:t>
      </w:r>
      <w:r w:rsidRPr="001906AC">
        <w:rPr>
          <w:rFonts w:eastAsia="Times New Roman" w:cs="Minion Pro"/>
          <w:color w:val="000000"/>
        </w:rPr>
        <w:t xml:space="preserve"> minutes long</w:t>
      </w:r>
      <w:r>
        <w:rPr>
          <w:rFonts w:eastAsia="Times New Roman" w:cs="Minion Pro"/>
          <w:color w:val="000000"/>
        </w:rPr>
        <w:t>.</w:t>
      </w:r>
    </w:p>
    <w:p w:rsidR="00931769" w:rsidRDefault="00931769" w:rsidP="00931769">
      <w:pPr>
        <w:spacing w:after="0" w:line="240" w:lineRule="auto"/>
        <w:jc w:val="both"/>
        <w:rPr>
          <w:rFonts w:eastAsia="Times New Roman" w:cs="Minion Pro"/>
          <w:color w:val="000000"/>
        </w:rPr>
      </w:pPr>
    </w:p>
    <w:tbl>
      <w:tblPr>
        <w:tblStyle w:val="TableGrid"/>
        <w:tblW w:w="0" w:type="auto"/>
        <w:tblLayout w:type="fixed"/>
        <w:tblLook w:val="04A0" w:firstRow="1" w:lastRow="0" w:firstColumn="1" w:lastColumn="0" w:noHBand="0" w:noVBand="1"/>
      </w:tblPr>
      <w:tblGrid>
        <w:gridCol w:w="1915"/>
        <w:gridCol w:w="3593"/>
        <w:gridCol w:w="1170"/>
        <w:gridCol w:w="982"/>
        <w:gridCol w:w="1916"/>
      </w:tblGrid>
      <w:tr w:rsidR="00931769" w:rsidTr="00A531FF">
        <w:tc>
          <w:tcPr>
            <w:tcW w:w="1915" w:type="dxa"/>
          </w:tcPr>
          <w:p w:rsidR="00931769" w:rsidRDefault="00931769" w:rsidP="00A531FF">
            <w:pPr>
              <w:jc w:val="center"/>
              <w:rPr>
                <w:rFonts w:eastAsia="Times New Roman" w:cs="Minion Pro"/>
                <w:color w:val="000000"/>
              </w:rPr>
            </w:pPr>
            <w:r>
              <w:rPr>
                <w:rFonts w:eastAsia="Times New Roman" w:cs="Minion Pro"/>
                <w:color w:val="000000"/>
              </w:rPr>
              <w:t>Section</w:t>
            </w:r>
          </w:p>
        </w:tc>
        <w:tc>
          <w:tcPr>
            <w:tcW w:w="3593" w:type="dxa"/>
          </w:tcPr>
          <w:p w:rsidR="00931769" w:rsidRDefault="00931769" w:rsidP="00A531FF">
            <w:pPr>
              <w:jc w:val="center"/>
              <w:rPr>
                <w:rFonts w:eastAsia="Times New Roman" w:cs="Minion Pro"/>
                <w:color w:val="000000"/>
              </w:rPr>
            </w:pPr>
            <w:r>
              <w:rPr>
                <w:rFonts w:eastAsia="Times New Roman" w:cs="Minion Pro"/>
                <w:color w:val="000000"/>
              </w:rPr>
              <w:t>Question Type</w:t>
            </w:r>
          </w:p>
        </w:tc>
        <w:tc>
          <w:tcPr>
            <w:tcW w:w="1170" w:type="dxa"/>
          </w:tcPr>
          <w:p w:rsidR="00931769" w:rsidRDefault="00931769" w:rsidP="00A531FF">
            <w:pPr>
              <w:jc w:val="center"/>
              <w:rPr>
                <w:rFonts w:eastAsia="Times New Roman" w:cs="Minion Pro"/>
                <w:color w:val="000000"/>
              </w:rPr>
            </w:pPr>
            <w:r>
              <w:rPr>
                <w:rFonts w:eastAsia="Times New Roman" w:cs="Minion Pro"/>
                <w:color w:val="000000"/>
              </w:rPr>
              <w:t>#of Questions</w:t>
            </w:r>
          </w:p>
        </w:tc>
        <w:tc>
          <w:tcPr>
            <w:tcW w:w="982" w:type="dxa"/>
          </w:tcPr>
          <w:p w:rsidR="00931769" w:rsidRDefault="00931769" w:rsidP="00A531FF">
            <w:pPr>
              <w:jc w:val="center"/>
              <w:rPr>
                <w:rFonts w:eastAsia="Times New Roman" w:cs="Minion Pro"/>
                <w:color w:val="000000"/>
              </w:rPr>
            </w:pPr>
            <w:r>
              <w:rPr>
                <w:rFonts w:eastAsia="Times New Roman" w:cs="Minion Pro"/>
                <w:color w:val="000000"/>
              </w:rPr>
              <w:t>Timing</w:t>
            </w:r>
          </w:p>
        </w:tc>
        <w:tc>
          <w:tcPr>
            <w:tcW w:w="1916" w:type="dxa"/>
          </w:tcPr>
          <w:p w:rsidR="00931769" w:rsidRDefault="00931769" w:rsidP="00A531FF">
            <w:pPr>
              <w:jc w:val="center"/>
              <w:rPr>
                <w:rFonts w:eastAsia="Times New Roman" w:cs="Minion Pro"/>
                <w:color w:val="000000"/>
              </w:rPr>
            </w:pPr>
            <w:r>
              <w:rPr>
                <w:rFonts w:eastAsia="Times New Roman" w:cs="Minion Pro"/>
                <w:color w:val="000000"/>
              </w:rPr>
              <w:t>% of total Exam Score</w:t>
            </w:r>
          </w:p>
        </w:tc>
      </w:tr>
      <w:tr w:rsidR="00931769" w:rsidTr="00A531FF">
        <w:tc>
          <w:tcPr>
            <w:tcW w:w="1915" w:type="dxa"/>
            <w:tcBorders>
              <w:bottom w:val="nil"/>
            </w:tcBorders>
          </w:tcPr>
          <w:p w:rsidR="00931769" w:rsidRDefault="00931769" w:rsidP="00A531FF">
            <w:pPr>
              <w:jc w:val="center"/>
              <w:rPr>
                <w:rFonts w:eastAsia="Times New Roman" w:cs="Minion Pro"/>
                <w:color w:val="000000"/>
              </w:rPr>
            </w:pPr>
            <w:r>
              <w:rPr>
                <w:rFonts w:eastAsia="Times New Roman" w:cs="Minion Pro"/>
                <w:color w:val="000000"/>
              </w:rPr>
              <w:t>I</w:t>
            </w:r>
          </w:p>
        </w:tc>
        <w:tc>
          <w:tcPr>
            <w:tcW w:w="3593" w:type="dxa"/>
          </w:tcPr>
          <w:p w:rsidR="00931769" w:rsidRDefault="00931769" w:rsidP="00A531FF">
            <w:pPr>
              <w:jc w:val="both"/>
              <w:rPr>
                <w:rFonts w:eastAsia="Times New Roman" w:cs="Minion Pro"/>
                <w:color w:val="000000"/>
              </w:rPr>
            </w:pPr>
            <w:r>
              <w:rPr>
                <w:rFonts w:eastAsia="Times New Roman" w:cs="Minion Pro"/>
                <w:color w:val="000000"/>
              </w:rPr>
              <w:t>Part A: Multiple-Choice Questions</w:t>
            </w:r>
          </w:p>
        </w:tc>
        <w:tc>
          <w:tcPr>
            <w:tcW w:w="1170" w:type="dxa"/>
          </w:tcPr>
          <w:p w:rsidR="00931769" w:rsidRDefault="00931769" w:rsidP="00A531FF">
            <w:pPr>
              <w:jc w:val="center"/>
              <w:rPr>
                <w:rFonts w:eastAsia="Times New Roman" w:cs="Minion Pro"/>
                <w:color w:val="000000"/>
              </w:rPr>
            </w:pPr>
            <w:r>
              <w:rPr>
                <w:rFonts w:eastAsia="Times New Roman" w:cs="Minion Pro"/>
                <w:color w:val="000000"/>
              </w:rPr>
              <w:t>55</w:t>
            </w:r>
          </w:p>
        </w:tc>
        <w:tc>
          <w:tcPr>
            <w:tcW w:w="982" w:type="dxa"/>
          </w:tcPr>
          <w:p w:rsidR="00931769" w:rsidRDefault="00931769" w:rsidP="00A531FF">
            <w:pPr>
              <w:jc w:val="both"/>
              <w:rPr>
                <w:rFonts w:eastAsia="Times New Roman" w:cs="Minion Pro"/>
                <w:color w:val="000000"/>
              </w:rPr>
            </w:pPr>
            <w:r>
              <w:rPr>
                <w:rFonts w:eastAsia="Times New Roman" w:cs="Minion Pro"/>
                <w:color w:val="000000"/>
              </w:rPr>
              <w:t>55 min.</w:t>
            </w:r>
          </w:p>
        </w:tc>
        <w:tc>
          <w:tcPr>
            <w:tcW w:w="1916" w:type="dxa"/>
          </w:tcPr>
          <w:p w:rsidR="00931769" w:rsidRDefault="00931769" w:rsidP="00A531FF">
            <w:pPr>
              <w:jc w:val="center"/>
              <w:rPr>
                <w:rFonts w:eastAsia="Times New Roman" w:cs="Minion Pro"/>
                <w:color w:val="000000"/>
              </w:rPr>
            </w:pPr>
            <w:r>
              <w:rPr>
                <w:rFonts w:eastAsia="Times New Roman" w:cs="Minion Pro"/>
                <w:color w:val="000000"/>
              </w:rPr>
              <w:t>40%</w:t>
            </w:r>
          </w:p>
        </w:tc>
      </w:tr>
      <w:tr w:rsidR="00931769" w:rsidTr="00A531FF">
        <w:tc>
          <w:tcPr>
            <w:tcW w:w="1915" w:type="dxa"/>
            <w:tcBorders>
              <w:top w:val="nil"/>
              <w:left w:val="single" w:sz="4" w:space="0" w:color="auto"/>
              <w:bottom w:val="single" w:sz="4" w:space="0" w:color="auto"/>
              <w:right w:val="single" w:sz="4" w:space="0" w:color="auto"/>
            </w:tcBorders>
          </w:tcPr>
          <w:p w:rsidR="00931769" w:rsidRDefault="00931769" w:rsidP="00A531FF">
            <w:pPr>
              <w:jc w:val="both"/>
              <w:rPr>
                <w:rFonts w:eastAsia="Times New Roman" w:cs="Minion Pro"/>
                <w:color w:val="000000"/>
              </w:rPr>
            </w:pPr>
          </w:p>
        </w:tc>
        <w:tc>
          <w:tcPr>
            <w:tcW w:w="3593" w:type="dxa"/>
            <w:tcBorders>
              <w:left w:val="single" w:sz="4" w:space="0" w:color="auto"/>
            </w:tcBorders>
          </w:tcPr>
          <w:p w:rsidR="00931769" w:rsidRDefault="00931769" w:rsidP="00A531FF">
            <w:pPr>
              <w:jc w:val="both"/>
              <w:rPr>
                <w:rFonts w:eastAsia="Times New Roman" w:cs="Minion Pro"/>
                <w:color w:val="000000"/>
              </w:rPr>
            </w:pPr>
            <w:r>
              <w:rPr>
                <w:rFonts w:eastAsia="Times New Roman" w:cs="Minion Pro"/>
                <w:color w:val="000000"/>
              </w:rPr>
              <w:t>Part B: Short-Answer Questions</w:t>
            </w:r>
          </w:p>
        </w:tc>
        <w:tc>
          <w:tcPr>
            <w:tcW w:w="1170" w:type="dxa"/>
          </w:tcPr>
          <w:p w:rsidR="00931769" w:rsidRDefault="00931769" w:rsidP="00A531FF">
            <w:pPr>
              <w:jc w:val="center"/>
              <w:rPr>
                <w:rFonts w:eastAsia="Times New Roman" w:cs="Minion Pro"/>
                <w:color w:val="000000"/>
              </w:rPr>
            </w:pPr>
            <w:r>
              <w:rPr>
                <w:rFonts w:eastAsia="Times New Roman" w:cs="Minion Pro"/>
                <w:color w:val="000000"/>
              </w:rPr>
              <w:t>4</w:t>
            </w:r>
          </w:p>
        </w:tc>
        <w:tc>
          <w:tcPr>
            <w:tcW w:w="982" w:type="dxa"/>
          </w:tcPr>
          <w:p w:rsidR="00931769" w:rsidRDefault="00CA2F5E" w:rsidP="00A531FF">
            <w:pPr>
              <w:jc w:val="both"/>
              <w:rPr>
                <w:rFonts w:eastAsia="Times New Roman" w:cs="Minion Pro"/>
                <w:color w:val="000000"/>
              </w:rPr>
            </w:pPr>
            <w:r>
              <w:rPr>
                <w:rFonts w:eastAsia="Times New Roman" w:cs="Minion Pro"/>
                <w:color w:val="000000"/>
              </w:rPr>
              <w:t>50 m</w:t>
            </w:r>
            <w:r w:rsidR="00931769">
              <w:rPr>
                <w:rFonts w:eastAsia="Times New Roman" w:cs="Minion Pro"/>
                <w:color w:val="000000"/>
              </w:rPr>
              <w:t xml:space="preserve">in. </w:t>
            </w:r>
          </w:p>
        </w:tc>
        <w:tc>
          <w:tcPr>
            <w:tcW w:w="1916" w:type="dxa"/>
          </w:tcPr>
          <w:p w:rsidR="00931769" w:rsidRDefault="00931769" w:rsidP="00A531FF">
            <w:pPr>
              <w:jc w:val="center"/>
              <w:rPr>
                <w:rFonts w:eastAsia="Times New Roman" w:cs="Minion Pro"/>
                <w:color w:val="000000"/>
              </w:rPr>
            </w:pPr>
            <w:r>
              <w:rPr>
                <w:rFonts w:eastAsia="Times New Roman" w:cs="Minion Pro"/>
                <w:color w:val="000000"/>
              </w:rPr>
              <w:t>20%</w:t>
            </w:r>
          </w:p>
        </w:tc>
      </w:tr>
      <w:tr w:rsidR="00931769" w:rsidTr="00A531FF">
        <w:tc>
          <w:tcPr>
            <w:tcW w:w="1915" w:type="dxa"/>
            <w:tcBorders>
              <w:top w:val="single" w:sz="4" w:space="0" w:color="auto"/>
              <w:bottom w:val="nil"/>
            </w:tcBorders>
          </w:tcPr>
          <w:p w:rsidR="00931769" w:rsidRDefault="00931769" w:rsidP="00A531FF">
            <w:pPr>
              <w:jc w:val="center"/>
              <w:rPr>
                <w:rFonts w:eastAsia="Times New Roman" w:cs="Minion Pro"/>
                <w:color w:val="000000"/>
              </w:rPr>
            </w:pPr>
            <w:r>
              <w:rPr>
                <w:rFonts w:eastAsia="Times New Roman" w:cs="Minion Pro"/>
                <w:color w:val="000000"/>
              </w:rPr>
              <w:t>II</w:t>
            </w:r>
          </w:p>
        </w:tc>
        <w:tc>
          <w:tcPr>
            <w:tcW w:w="3593" w:type="dxa"/>
          </w:tcPr>
          <w:p w:rsidR="00931769" w:rsidRDefault="00931769" w:rsidP="00A531FF">
            <w:pPr>
              <w:jc w:val="both"/>
              <w:rPr>
                <w:rFonts w:eastAsia="Times New Roman" w:cs="Minion Pro"/>
                <w:color w:val="000000"/>
              </w:rPr>
            </w:pPr>
            <w:r>
              <w:rPr>
                <w:rFonts w:eastAsia="Times New Roman" w:cs="Minion Pro"/>
                <w:color w:val="000000"/>
              </w:rPr>
              <w:t>Part A: Document – Based Question</w:t>
            </w:r>
          </w:p>
        </w:tc>
        <w:tc>
          <w:tcPr>
            <w:tcW w:w="1170" w:type="dxa"/>
          </w:tcPr>
          <w:p w:rsidR="00931769" w:rsidRDefault="00931769" w:rsidP="00A531FF">
            <w:pPr>
              <w:jc w:val="center"/>
              <w:rPr>
                <w:rFonts w:eastAsia="Times New Roman" w:cs="Minion Pro"/>
                <w:color w:val="000000"/>
              </w:rPr>
            </w:pPr>
            <w:r>
              <w:rPr>
                <w:rFonts w:eastAsia="Times New Roman" w:cs="Minion Pro"/>
                <w:color w:val="000000"/>
              </w:rPr>
              <w:t>1</w:t>
            </w:r>
          </w:p>
        </w:tc>
        <w:tc>
          <w:tcPr>
            <w:tcW w:w="982" w:type="dxa"/>
          </w:tcPr>
          <w:p w:rsidR="00931769" w:rsidRDefault="00CA2F5E" w:rsidP="00A531FF">
            <w:pPr>
              <w:jc w:val="both"/>
              <w:rPr>
                <w:rFonts w:eastAsia="Times New Roman" w:cs="Minion Pro"/>
                <w:color w:val="000000"/>
              </w:rPr>
            </w:pPr>
            <w:r>
              <w:rPr>
                <w:rFonts w:eastAsia="Times New Roman" w:cs="Minion Pro"/>
                <w:color w:val="000000"/>
              </w:rPr>
              <w:t>55</w:t>
            </w:r>
            <w:r w:rsidR="00931769">
              <w:rPr>
                <w:rFonts w:eastAsia="Times New Roman" w:cs="Minion Pro"/>
                <w:color w:val="000000"/>
              </w:rPr>
              <w:t xml:space="preserve"> min. </w:t>
            </w:r>
          </w:p>
        </w:tc>
        <w:tc>
          <w:tcPr>
            <w:tcW w:w="1916" w:type="dxa"/>
          </w:tcPr>
          <w:p w:rsidR="00931769" w:rsidRDefault="00931769" w:rsidP="00A531FF">
            <w:pPr>
              <w:jc w:val="center"/>
              <w:rPr>
                <w:rFonts w:eastAsia="Times New Roman" w:cs="Minion Pro"/>
                <w:color w:val="000000"/>
              </w:rPr>
            </w:pPr>
            <w:r>
              <w:rPr>
                <w:rFonts w:eastAsia="Times New Roman" w:cs="Minion Pro"/>
                <w:color w:val="000000"/>
              </w:rPr>
              <w:t>25%</w:t>
            </w:r>
          </w:p>
        </w:tc>
      </w:tr>
      <w:tr w:rsidR="00931769" w:rsidTr="00A531FF">
        <w:tc>
          <w:tcPr>
            <w:tcW w:w="1915" w:type="dxa"/>
            <w:tcBorders>
              <w:top w:val="nil"/>
              <w:bottom w:val="single" w:sz="4" w:space="0" w:color="auto"/>
            </w:tcBorders>
          </w:tcPr>
          <w:p w:rsidR="00931769" w:rsidRDefault="00931769" w:rsidP="00A531FF">
            <w:pPr>
              <w:jc w:val="both"/>
              <w:rPr>
                <w:rFonts w:eastAsia="Times New Roman" w:cs="Minion Pro"/>
                <w:color w:val="000000"/>
              </w:rPr>
            </w:pPr>
          </w:p>
        </w:tc>
        <w:tc>
          <w:tcPr>
            <w:tcW w:w="3593" w:type="dxa"/>
          </w:tcPr>
          <w:p w:rsidR="00931769" w:rsidRDefault="00931769" w:rsidP="00A531FF">
            <w:pPr>
              <w:jc w:val="both"/>
              <w:rPr>
                <w:rFonts w:eastAsia="Times New Roman" w:cs="Minion Pro"/>
                <w:color w:val="000000"/>
              </w:rPr>
            </w:pPr>
            <w:r>
              <w:rPr>
                <w:rFonts w:eastAsia="Times New Roman" w:cs="Minion Pro"/>
                <w:color w:val="000000"/>
              </w:rPr>
              <w:t>Part B: Long essay Question</w:t>
            </w:r>
          </w:p>
        </w:tc>
        <w:tc>
          <w:tcPr>
            <w:tcW w:w="1170" w:type="dxa"/>
          </w:tcPr>
          <w:p w:rsidR="00931769" w:rsidRDefault="00931769" w:rsidP="00A531FF">
            <w:pPr>
              <w:jc w:val="center"/>
              <w:rPr>
                <w:rFonts w:eastAsia="Times New Roman" w:cs="Minion Pro"/>
                <w:color w:val="000000"/>
              </w:rPr>
            </w:pPr>
            <w:r>
              <w:rPr>
                <w:rFonts w:eastAsia="Times New Roman" w:cs="Minion Pro"/>
                <w:color w:val="000000"/>
              </w:rPr>
              <w:t>1*</w:t>
            </w:r>
          </w:p>
        </w:tc>
        <w:tc>
          <w:tcPr>
            <w:tcW w:w="982" w:type="dxa"/>
          </w:tcPr>
          <w:p w:rsidR="00931769" w:rsidRDefault="00931769" w:rsidP="00A531FF">
            <w:pPr>
              <w:jc w:val="both"/>
              <w:rPr>
                <w:rFonts w:eastAsia="Times New Roman" w:cs="Minion Pro"/>
                <w:color w:val="000000"/>
              </w:rPr>
            </w:pPr>
            <w:r>
              <w:rPr>
                <w:rFonts w:eastAsia="Times New Roman" w:cs="Minion Pro"/>
                <w:color w:val="000000"/>
              </w:rPr>
              <w:t xml:space="preserve">35 min. </w:t>
            </w:r>
          </w:p>
        </w:tc>
        <w:tc>
          <w:tcPr>
            <w:tcW w:w="1916" w:type="dxa"/>
          </w:tcPr>
          <w:p w:rsidR="00931769" w:rsidRDefault="00931769" w:rsidP="00A531FF">
            <w:pPr>
              <w:jc w:val="center"/>
              <w:rPr>
                <w:rFonts w:eastAsia="Times New Roman" w:cs="Minion Pro"/>
                <w:color w:val="000000"/>
              </w:rPr>
            </w:pPr>
            <w:r>
              <w:rPr>
                <w:rFonts w:eastAsia="Times New Roman" w:cs="Minion Pro"/>
                <w:color w:val="000000"/>
              </w:rPr>
              <w:t>15%</w:t>
            </w:r>
          </w:p>
        </w:tc>
      </w:tr>
    </w:tbl>
    <w:p w:rsidR="00931769" w:rsidRDefault="00931769" w:rsidP="00931769">
      <w:pPr>
        <w:spacing w:after="0" w:line="240" w:lineRule="auto"/>
        <w:jc w:val="both"/>
        <w:rPr>
          <w:rFonts w:eastAsia="Times New Roman" w:cs="Minion Pro"/>
          <w:color w:val="000000"/>
        </w:rPr>
      </w:pPr>
      <w:r w:rsidRPr="001906AC">
        <w:rPr>
          <w:rFonts w:eastAsia="Times New Roman" w:cs="Minion Pro"/>
          <w:color w:val="000000"/>
        </w:rPr>
        <w:t xml:space="preserve"> </w:t>
      </w:r>
      <w:r w:rsidRPr="00FA5B83">
        <w:rPr>
          <w:rFonts w:eastAsia="Times New Roman" w:cs="Minion Pro"/>
          <w:color w:val="000000"/>
        </w:rPr>
        <w:t>*Chosen from a pair</w:t>
      </w:r>
    </w:p>
    <w:p w:rsidR="00931769" w:rsidRPr="001906AC" w:rsidRDefault="00931769" w:rsidP="00931769">
      <w:pPr>
        <w:spacing w:after="0" w:line="240" w:lineRule="auto"/>
        <w:jc w:val="both"/>
        <w:rPr>
          <w:rFonts w:eastAsia="Times New Roman" w:cs="Minion Pro"/>
          <w:color w:val="000000"/>
        </w:rPr>
      </w:pPr>
    </w:p>
    <w:p w:rsidR="00931769" w:rsidRPr="001906AC" w:rsidRDefault="00931769" w:rsidP="00931769">
      <w:pPr>
        <w:spacing w:after="0" w:line="240" w:lineRule="auto"/>
        <w:jc w:val="both"/>
        <w:rPr>
          <w:rFonts w:eastAsia="Times New Roman" w:cs="Minion Pro"/>
          <w:b/>
          <w:color w:val="000000"/>
          <w:u w:val="single"/>
        </w:rPr>
      </w:pPr>
      <w:r w:rsidRPr="001906AC">
        <w:rPr>
          <w:rFonts w:eastAsia="Times New Roman" w:cs="Minion Pro"/>
          <w:b/>
          <w:color w:val="000000"/>
          <w:u w:val="single"/>
        </w:rPr>
        <w:t>Grading Policy:</w:t>
      </w:r>
    </w:p>
    <w:p w:rsidR="00931769" w:rsidRPr="001906AC" w:rsidRDefault="00931769" w:rsidP="00931769">
      <w:pPr>
        <w:spacing w:after="0" w:line="240" w:lineRule="auto"/>
        <w:jc w:val="both"/>
        <w:rPr>
          <w:rFonts w:eastAsia="Times New Roman" w:cs="Minion Pro"/>
          <w:color w:val="000000"/>
        </w:rPr>
      </w:pPr>
      <w:r w:rsidRPr="001906AC">
        <w:rPr>
          <w:rFonts w:eastAsia="Times New Roman" w:cs="Minion Pro"/>
          <w:color w:val="000000"/>
        </w:rPr>
        <w:t>A: 100-90, B: 89-80, C: 79-70, D: 69-60, F: 59-0</w:t>
      </w:r>
    </w:p>
    <w:p w:rsidR="00931769" w:rsidRPr="001906AC" w:rsidRDefault="00931769" w:rsidP="00931769">
      <w:pPr>
        <w:spacing w:after="0" w:line="240" w:lineRule="auto"/>
        <w:jc w:val="both"/>
        <w:rPr>
          <w:rFonts w:eastAsia="Times New Roman" w:cs="Minion Pro"/>
          <w:color w:val="000000"/>
        </w:rPr>
      </w:pPr>
    </w:p>
    <w:p w:rsidR="00931769" w:rsidRPr="001906AC" w:rsidRDefault="00931769" w:rsidP="00931769">
      <w:pPr>
        <w:spacing w:after="0" w:line="240" w:lineRule="auto"/>
        <w:jc w:val="both"/>
        <w:rPr>
          <w:rFonts w:eastAsia="Times New Roman" w:cs="Minion Pro"/>
          <w:b/>
          <w:color w:val="000000"/>
          <w:u w:val="single"/>
        </w:rPr>
      </w:pPr>
    </w:p>
    <w:p w:rsidR="00931769" w:rsidRPr="001906AC" w:rsidRDefault="00931769" w:rsidP="00931769">
      <w:pPr>
        <w:spacing w:after="0" w:line="240" w:lineRule="auto"/>
        <w:jc w:val="both"/>
        <w:rPr>
          <w:rFonts w:eastAsia="Times New Roman" w:cs="Minion Pro"/>
          <w:b/>
          <w:color w:val="000000"/>
          <w:u w:val="single"/>
        </w:rPr>
      </w:pPr>
      <w:r w:rsidRPr="001906AC">
        <w:rPr>
          <w:rFonts w:eastAsia="Times New Roman" w:cs="Minion Pro"/>
          <w:b/>
          <w:color w:val="000000"/>
          <w:u w:val="single"/>
        </w:rPr>
        <w:lastRenderedPageBreak/>
        <w:t>Attendance and Lateness:</w:t>
      </w:r>
    </w:p>
    <w:p w:rsidR="00931769" w:rsidRPr="001906AC" w:rsidRDefault="00931769" w:rsidP="00931769">
      <w:pPr>
        <w:spacing w:after="0" w:line="240" w:lineRule="auto"/>
        <w:jc w:val="both"/>
        <w:rPr>
          <w:rFonts w:eastAsia="Times New Roman" w:cs="Minion Pro"/>
          <w:color w:val="000000"/>
        </w:rPr>
      </w:pPr>
      <w:r w:rsidRPr="001906AC">
        <w:rPr>
          <w:rFonts w:eastAsia="Times New Roman" w:cs="Minion Pro"/>
          <w:color w:val="000000"/>
        </w:rPr>
        <w:t xml:space="preserve">Attendance in this class is essential. Much of the material for success </w:t>
      </w:r>
      <w:proofErr w:type="gramStart"/>
      <w:r w:rsidRPr="001906AC">
        <w:rPr>
          <w:rFonts w:eastAsia="Times New Roman" w:cs="Minion Pro"/>
          <w:color w:val="000000"/>
        </w:rPr>
        <w:t>is provided</w:t>
      </w:r>
      <w:proofErr w:type="gramEnd"/>
      <w:r w:rsidRPr="001906AC">
        <w:rPr>
          <w:rFonts w:eastAsia="Times New Roman" w:cs="Minion Pro"/>
          <w:color w:val="000000"/>
        </w:rPr>
        <w:t xml:space="preserve"> through lecture and discussion. Only absences that </w:t>
      </w:r>
      <w:proofErr w:type="gramStart"/>
      <w:r w:rsidRPr="001906AC">
        <w:rPr>
          <w:rFonts w:eastAsia="Times New Roman" w:cs="Minion Pro"/>
          <w:color w:val="000000"/>
        </w:rPr>
        <w:t>are excused</w:t>
      </w:r>
      <w:proofErr w:type="gramEnd"/>
      <w:r w:rsidRPr="001906AC">
        <w:rPr>
          <w:rFonts w:eastAsia="Times New Roman" w:cs="Minion Pro"/>
          <w:color w:val="000000"/>
        </w:rPr>
        <w:t xml:space="preserve"> through the Dean’s office will be accepted. The student is responsible for getting the information he/she missed while absent. Tardiness is unacceptable. If the door to the classroom is </w:t>
      </w:r>
      <w:r>
        <w:rPr>
          <w:rFonts w:eastAsia="Times New Roman" w:cs="Minion Pro"/>
          <w:color w:val="000000"/>
        </w:rPr>
        <w:t>closed, that means you are late</w:t>
      </w:r>
      <w:r w:rsidRPr="001906AC">
        <w:rPr>
          <w:rFonts w:eastAsia="Times New Roman" w:cs="Minion Pro"/>
          <w:color w:val="000000"/>
        </w:rPr>
        <w:t xml:space="preserve">. The </w:t>
      </w:r>
      <w:r>
        <w:rPr>
          <w:rFonts w:eastAsia="Times New Roman" w:cs="Minion Pro"/>
          <w:color w:val="000000"/>
        </w:rPr>
        <w:t>student must turn in all</w:t>
      </w:r>
      <w:r w:rsidRPr="001906AC">
        <w:rPr>
          <w:rFonts w:eastAsia="Times New Roman" w:cs="Minion Pro"/>
          <w:color w:val="000000"/>
        </w:rPr>
        <w:t xml:space="preserve"> work in the appropriate bin.  I.D.’s should also be visible at all times </w:t>
      </w:r>
      <w:proofErr w:type="gramStart"/>
      <w:r w:rsidRPr="001906AC">
        <w:rPr>
          <w:rFonts w:eastAsia="Times New Roman" w:cs="Minion Pro"/>
          <w:color w:val="000000"/>
        </w:rPr>
        <w:t>for your safety and in order to adhere to Douglas Anderson’s code of conduct</w:t>
      </w:r>
      <w:proofErr w:type="gramEnd"/>
      <w:r w:rsidRPr="001906AC">
        <w:rPr>
          <w:rFonts w:eastAsia="Times New Roman" w:cs="Minion Pro"/>
          <w:color w:val="000000"/>
        </w:rPr>
        <w:t xml:space="preserve">. </w:t>
      </w:r>
    </w:p>
    <w:p w:rsidR="00931769" w:rsidRDefault="00931769" w:rsidP="00931769">
      <w:pPr>
        <w:pStyle w:val="Default"/>
        <w:rPr>
          <w:rFonts w:asciiTheme="minorHAnsi" w:hAnsiTheme="minorHAnsi"/>
        </w:rPr>
      </w:pPr>
    </w:p>
    <w:p w:rsidR="00931769" w:rsidRDefault="00931769" w:rsidP="00931769">
      <w:pPr>
        <w:spacing w:after="0" w:line="240" w:lineRule="auto"/>
        <w:jc w:val="both"/>
        <w:rPr>
          <w:rFonts w:eastAsia="Times New Roman" w:cs="Minion Pro"/>
          <w:b/>
          <w:color w:val="000000"/>
          <w:u w:val="single"/>
        </w:rPr>
      </w:pPr>
    </w:p>
    <w:p w:rsidR="00931769" w:rsidRPr="00E1191C" w:rsidRDefault="00931769" w:rsidP="00931769">
      <w:pPr>
        <w:spacing w:after="0" w:line="240" w:lineRule="auto"/>
        <w:jc w:val="both"/>
        <w:rPr>
          <w:rFonts w:eastAsia="Times New Roman" w:cs="Minion Pro"/>
          <w:b/>
          <w:color w:val="000000"/>
          <w:u w:val="single"/>
        </w:rPr>
      </w:pPr>
      <w:r w:rsidRPr="00E1191C">
        <w:rPr>
          <w:rFonts w:eastAsia="Times New Roman" w:cs="Minion Pro"/>
          <w:b/>
          <w:color w:val="000000"/>
          <w:u w:val="single"/>
        </w:rPr>
        <w:t>Course Assignments:</w:t>
      </w:r>
    </w:p>
    <w:p w:rsidR="00931769" w:rsidRDefault="00931769" w:rsidP="00931769">
      <w:pPr>
        <w:autoSpaceDE w:val="0"/>
        <w:autoSpaceDN w:val="0"/>
        <w:adjustRightInd w:val="0"/>
        <w:spacing w:before="180" w:after="0" w:line="221" w:lineRule="atLeast"/>
        <w:jc w:val="both"/>
        <w:rPr>
          <w:rFonts w:eastAsia="Times New Roman" w:cs="Times New Roman"/>
        </w:rPr>
      </w:pPr>
      <w:r w:rsidRPr="00E1191C">
        <w:rPr>
          <w:rFonts w:eastAsia="Times New Roman" w:cs="Times New Roman"/>
        </w:rPr>
        <w:t xml:space="preserve">Assignments </w:t>
      </w:r>
      <w:proofErr w:type="gramStart"/>
      <w:r w:rsidRPr="00E1191C">
        <w:rPr>
          <w:rFonts w:eastAsia="Times New Roman" w:cs="Times New Roman"/>
        </w:rPr>
        <w:t>will be graded</w:t>
      </w:r>
      <w:proofErr w:type="gramEnd"/>
      <w:r w:rsidRPr="00E1191C">
        <w:rPr>
          <w:rFonts w:eastAsia="Times New Roman" w:cs="Times New Roman"/>
        </w:rPr>
        <w:t xml:space="preserve"> using a point system. Unit exams, quizzes, and projects will be worth more points than homework or classwork assignments. In addition, students </w:t>
      </w:r>
      <w:proofErr w:type="gramStart"/>
      <w:r w:rsidRPr="00E1191C">
        <w:rPr>
          <w:rFonts w:eastAsia="Times New Roman" w:cs="Times New Roman"/>
        </w:rPr>
        <w:t>will be graded</w:t>
      </w:r>
      <w:proofErr w:type="gramEnd"/>
      <w:r w:rsidRPr="00E1191C">
        <w:rPr>
          <w:rFonts w:eastAsia="Times New Roman" w:cs="Times New Roman"/>
        </w:rPr>
        <w:t xml:space="preserve"> on class participation for some activities. Students will receive a rub</w:t>
      </w:r>
      <w:r>
        <w:rPr>
          <w:rFonts w:eastAsia="Times New Roman" w:cs="Times New Roman"/>
        </w:rPr>
        <w:t>ric for the long essay</w:t>
      </w:r>
      <w:r w:rsidRPr="00E1191C">
        <w:rPr>
          <w:rFonts w:eastAsia="Times New Roman" w:cs="Times New Roman"/>
        </w:rPr>
        <w:t xml:space="preserve"> and Document-Based Questions based on the Advanced Placement grading scale. </w:t>
      </w:r>
      <w:r w:rsidR="000A4059">
        <w:rPr>
          <w:rFonts w:eastAsia="Times New Roman" w:cs="Times New Roman"/>
        </w:rPr>
        <w:t xml:space="preserve">There will be very little </w:t>
      </w:r>
      <w:r>
        <w:rPr>
          <w:rFonts w:eastAsia="Times New Roman" w:cs="Times New Roman"/>
        </w:rPr>
        <w:t xml:space="preserve">lecture in the class. Information </w:t>
      </w:r>
      <w:proofErr w:type="gramStart"/>
      <w:r>
        <w:rPr>
          <w:rFonts w:eastAsia="Times New Roman" w:cs="Times New Roman"/>
        </w:rPr>
        <w:t>will be learned</w:t>
      </w:r>
      <w:proofErr w:type="gramEnd"/>
      <w:r>
        <w:rPr>
          <w:rFonts w:eastAsia="Times New Roman" w:cs="Times New Roman"/>
        </w:rPr>
        <w:t xml:space="preserve"> through outside of class reading and primary source activities. The primary source activities </w:t>
      </w:r>
      <w:r>
        <w:rPr>
          <w:rStyle w:val="A7"/>
        </w:rPr>
        <w:t xml:space="preserve">provide students with the opportunity to read and interpret a diverse selection of primary source materials. The teacher introduces each document, and then students (either alone or in groups) read, interpret, and discuss the document, noting the style, language, intent, and effect. Students receive “essential questions” to frame class discussions; these </w:t>
      </w:r>
      <w:proofErr w:type="gramStart"/>
      <w:r>
        <w:rPr>
          <w:rStyle w:val="A7"/>
        </w:rPr>
        <w:t>are often used</w:t>
      </w:r>
      <w:proofErr w:type="gramEnd"/>
      <w:r>
        <w:rPr>
          <w:rStyle w:val="A7"/>
        </w:rPr>
        <w:t xml:space="preserve"> as writing assignments. </w:t>
      </w:r>
      <w:proofErr w:type="gramStart"/>
      <w:r>
        <w:rPr>
          <w:rStyle w:val="A7"/>
        </w:rPr>
        <w:t>Also</w:t>
      </w:r>
      <w:proofErr w:type="gramEnd"/>
      <w:r>
        <w:rPr>
          <w:rStyle w:val="A7"/>
        </w:rPr>
        <w:t xml:space="preserve">, </w:t>
      </w:r>
      <w:r>
        <w:rPr>
          <w:rFonts w:eastAsia="Times New Roman" w:cs="Times New Roman"/>
        </w:rPr>
        <w:t>f</w:t>
      </w:r>
      <w:r w:rsidRPr="00E1191C">
        <w:rPr>
          <w:rFonts w:eastAsia="Times New Roman" w:cs="Times New Roman"/>
        </w:rPr>
        <w:t xml:space="preserve">or each unit of knowledge, students will be required to write an analytical paper, using the AP scale, and answer AP-formatted multiple-choice questions in the exact times allotted on the AP exam. Students will be required to keep a notebook of all returned assignments and handouts. In April, students will revise their analytical papers that </w:t>
      </w:r>
      <w:proofErr w:type="gramStart"/>
      <w:r w:rsidRPr="00E1191C">
        <w:rPr>
          <w:rFonts w:eastAsia="Times New Roman" w:cs="Times New Roman"/>
        </w:rPr>
        <w:t>are written</w:t>
      </w:r>
      <w:proofErr w:type="gramEnd"/>
      <w:r w:rsidRPr="00E1191C">
        <w:rPr>
          <w:rFonts w:eastAsia="Times New Roman" w:cs="Times New Roman"/>
        </w:rPr>
        <w:t xml:space="preserve"> throughout the year as a part of the review session to improve their writing skills and knowledge of each historical period. </w:t>
      </w:r>
    </w:p>
    <w:p w:rsidR="0003057A" w:rsidRDefault="0003057A" w:rsidP="00931769">
      <w:pPr>
        <w:autoSpaceDE w:val="0"/>
        <w:autoSpaceDN w:val="0"/>
        <w:adjustRightInd w:val="0"/>
        <w:spacing w:before="180" w:after="0" w:line="221" w:lineRule="atLeast"/>
        <w:jc w:val="both"/>
        <w:rPr>
          <w:rFonts w:eastAsia="Times New Roman" w:cs="Times New Roman"/>
        </w:rPr>
      </w:pPr>
    </w:p>
    <w:p w:rsidR="0003057A" w:rsidRDefault="0003057A" w:rsidP="00931769">
      <w:pPr>
        <w:autoSpaceDE w:val="0"/>
        <w:autoSpaceDN w:val="0"/>
        <w:adjustRightInd w:val="0"/>
        <w:spacing w:before="180" w:after="0" w:line="221" w:lineRule="atLeast"/>
        <w:jc w:val="both"/>
        <w:rPr>
          <w:rFonts w:eastAsia="Times New Roman" w:cs="Times New Roman"/>
        </w:rPr>
      </w:pPr>
    </w:p>
    <w:p w:rsidR="0003057A" w:rsidRDefault="0003057A" w:rsidP="00931769">
      <w:pPr>
        <w:autoSpaceDE w:val="0"/>
        <w:autoSpaceDN w:val="0"/>
        <w:adjustRightInd w:val="0"/>
        <w:spacing w:before="180" w:after="0" w:line="221" w:lineRule="atLeast"/>
        <w:jc w:val="both"/>
        <w:rPr>
          <w:rFonts w:eastAsia="Times New Roman" w:cs="Times New Roman"/>
        </w:rPr>
      </w:pPr>
      <w:r>
        <w:rPr>
          <w:rFonts w:eastAsia="Times New Roman" w:cs="Times New Roman"/>
        </w:rPr>
        <w:t>Parent</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Student</w:t>
      </w:r>
    </w:p>
    <w:p w:rsidR="0003057A" w:rsidRDefault="0003057A" w:rsidP="00931769">
      <w:pPr>
        <w:autoSpaceDE w:val="0"/>
        <w:autoSpaceDN w:val="0"/>
        <w:adjustRightInd w:val="0"/>
        <w:spacing w:before="180" w:after="0" w:line="221" w:lineRule="atLeast"/>
        <w:jc w:val="both"/>
        <w:rPr>
          <w:rFonts w:eastAsia="Times New Roman" w:cs="Times New Roman"/>
        </w:rPr>
      </w:pPr>
      <w:r>
        <w:rPr>
          <w:rFonts w:eastAsia="Times New Roman" w:cs="Times New Roman"/>
        </w:rPr>
        <w:t>Name: ________________________________</w:t>
      </w:r>
      <w:r>
        <w:rPr>
          <w:rFonts w:eastAsia="Times New Roman" w:cs="Times New Roman"/>
        </w:rPr>
        <w:tab/>
      </w:r>
      <w:r>
        <w:rPr>
          <w:rFonts w:eastAsia="Times New Roman" w:cs="Times New Roman"/>
        </w:rPr>
        <w:tab/>
        <w:t>Name: ________________________________</w:t>
      </w:r>
    </w:p>
    <w:p w:rsidR="0003057A" w:rsidRDefault="0003057A" w:rsidP="00931769">
      <w:pPr>
        <w:autoSpaceDE w:val="0"/>
        <w:autoSpaceDN w:val="0"/>
        <w:adjustRightInd w:val="0"/>
        <w:spacing w:before="180" w:after="0" w:line="221" w:lineRule="atLeast"/>
        <w:jc w:val="both"/>
        <w:rPr>
          <w:rFonts w:eastAsia="Times New Roman" w:cs="Times New Roman"/>
        </w:rPr>
      </w:pPr>
    </w:p>
    <w:p w:rsidR="00931769" w:rsidRDefault="0003057A" w:rsidP="0003057A">
      <w:pPr>
        <w:autoSpaceDE w:val="0"/>
        <w:autoSpaceDN w:val="0"/>
        <w:adjustRightInd w:val="0"/>
        <w:spacing w:before="180" w:after="0" w:line="221" w:lineRule="atLeast"/>
        <w:jc w:val="both"/>
      </w:pPr>
      <w:r>
        <w:rPr>
          <w:rFonts w:eastAsia="Times New Roman" w:cs="Times New Roman"/>
        </w:rPr>
        <w:t>Signature: _________________________________</w:t>
      </w:r>
      <w:r>
        <w:rPr>
          <w:rFonts w:eastAsia="Times New Roman" w:cs="Times New Roman"/>
        </w:rPr>
        <w:tab/>
        <w:t>Signature: _____________________________</w:t>
      </w:r>
    </w:p>
    <w:sectPr w:rsidR="00931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OfficinaSanITCBoo">
    <w:altName w:val="OfficinaSanITCBo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DBC8E3"/>
    <w:multiLevelType w:val="hybridMultilevel"/>
    <w:tmpl w:val="5032B4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FB93E2"/>
    <w:multiLevelType w:val="hybridMultilevel"/>
    <w:tmpl w:val="E1A3FE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215352"/>
    <w:multiLevelType w:val="hybridMultilevel"/>
    <w:tmpl w:val="947728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31586A"/>
    <w:multiLevelType w:val="hybridMultilevel"/>
    <w:tmpl w:val="3C945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C09A7"/>
    <w:multiLevelType w:val="hybridMultilevel"/>
    <w:tmpl w:val="FEE8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0441E"/>
    <w:multiLevelType w:val="hybridMultilevel"/>
    <w:tmpl w:val="BE92A0EA"/>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6" w15:restartNumberingAfterBreak="0">
    <w:nsid w:val="57814762"/>
    <w:multiLevelType w:val="hybridMultilevel"/>
    <w:tmpl w:val="B9A80E9A"/>
    <w:lvl w:ilvl="0" w:tplc="8A263D84">
      <w:start w:val="1"/>
      <w:numFmt w:val="decimal"/>
      <w:lvlText w:val="%1."/>
      <w:lvlJc w:val="left"/>
      <w:pPr>
        <w:ind w:left="1080" w:hanging="360"/>
      </w:pPr>
      <w:rPr>
        <w:rFonts w:asciiTheme="minorHAnsi" w:hAnsi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E136A4"/>
    <w:multiLevelType w:val="hybridMultilevel"/>
    <w:tmpl w:val="56C09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831AA"/>
    <w:multiLevelType w:val="hybridMultilevel"/>
    <w:tmpl w:val="2DB8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7"/>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69"/>
    <w:rsid w:val="0003057A"/>
    <w:rsid w:val="0005752F"/>
    <w:rsid w:val="000A4059"/>
    <w:rsid w:val="005F2B03"/>
    <w:rsid w:val="00647DE7"/>
    <w:rsid w:val="006726DD"/>
    <w:rsid w:val="007F1E00"/>
    <w:rsid w:val="008D1063"/>
    <w:rsid w:val="00931769"/>
    <w:rsid w:val="00CA2F5E"/>
    <w:rsid w:val="00D11892"/>
    <w:rsid w:val="00D740FF"/>
    <w:rsid w:val="00F7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CE25"/>
  <w15:chartTrackingRefBased/>
  <w15:docId w15:val="{FEF42736-CEE6-4840-A1E6-54C651E7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7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69"/>
    <w:pPr>
      <w:ind w:left="720"/>
      <w:contextualSpacing/>
    </w:pPr>
  </w:style>
  <w:style w:type="paragraph" w:customStyle="1" w:styleId="Default">
    <w:name w:val="Default"/>
    <w:rsid w:val="00931769"/>
    <w:pPr>
      <w:autoSpaceDE w:val="0"/>
      <w:autoSpaceDN w:val="0"/>
      <w:adjustRightInd w:val="0"/>
      <w:spacing w:after="0" w:line="240" w:lineRule="auto"/>
    </w:pPr>
    <w:rPr>
      <w:rFonts w:ascii="Univers LT Std 55" w:hAnsi="Univers LT Std 55" w:cs="Univers LT Std 55"/>
      <w:color w:val="000000"/>
      <w:sz w:val="24"/>
      <w:szCs w:val="24"/>
    </w:rPr>
  </w:style>
  <w:style w:type="paragraph" w:customStyle="1" w:styleId="Pa10">
    <w:name w:val="Pa10"/>
    <w:basedOn w:val="Default"/>
    <w:next w:val="Default"/>
    <w:uiPriority w:val="99"/>
    <w:rsid w:val="00931769"/>
    <w:pPr>
      <w:spacing w:line="241" w:lineRule="atLeast"/>
    </w:pPr>
    <w:rPr>
      <w:rFonts w:cstheme="minorBidi"/>
      <w:color w:val="auto"/>
    </w:rPr>
  </w:style>
  <w:style w:type="character" w:customStyle="1" w:styleId="A8">
    <w:name w:val="A8"/>
    <w:uiPriority w:val="99"/>
    <w:rsid w:val="00931769"/>
    <w:rPr>
      <w:rFonts w:ascii="OfficinaSanITCBoo" w:hAnsi="OfficinaSanITCBoo" w:cs="OfficinaSanITCBoo"/>
      <w:color w:val="000000"/>
      <w:sz w:val="22"/>
      <w:szCs w:val="22"/>
    </w:rPr>
  </w:style>
  <w:style w:type="paragraph" w:customStyle="1" w:styleId="Pa11">
    <w:name w:val="Pa11"/>
    <w:basedOn w:val="Default"/>
    <w:next w:val="Default"/>
    <w:uiPriority w:val="99"/>
    <w:rsid w:val="00931769"/>
    <w:pPr>
      <w:spacing w:line="241" w:lineRule="atLeast"/>
    </w:pPr>
    <w:rPr>
      <w:rFonts w:cstheme="minorBidi"/>
      <w:color w:val="auto"/>
    </w:rPr>
  </w:style>
  <w:style w:type="character" w:customStyle="1" w:styleId="A1">
    <w:name w:val="A1"/>
    <w:uiPriority w:val="99"/>
    <w:rsid w:val="00931769"/>
    <w:rPr>
      <w:rFonts w:ascii="OfficinaSanITCBoo" w:hAnsi="OfficinaSanITCBoo" w:cs="OfficinaSanITCBoo"/>
      <w:color w:val="000000"/>
      <w:sz w:val="20"/>
      <w:szCs w:val="20"/>
    </w:rPr>
  </w:style>
  <w:style w:type="table" w:styleId="TableGrid">
    <w:name w:val="Table Grid"/>
    <w:basedOn w:val="TableNormal"/>
    <w:uiPriority w:val="59"/>
    <w:rsid w:val="0093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931769"/>
    <w:rPr>
      <w:rFonts w:cs="OfficinaSanITCBoo"/>
      <w:color w:val="000000"/>
      <w:sz w:val="22"/>
      <w:szCs w:val="22"/>
    </w:rPr>
  </w:style>
  <w:style w:type="character" w:styleId="Hyperlink">
    <w:name w:val="Hyperlink"/>
    <w:basedOn w:val="DefaultParagraphFont"/>
    <w:uiPriority w:val="99"/>
    <w:unhideWhenUsed/>
    <w:rsid w:val="00D118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oded1@duval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Swartz, Alison J.</dc:creator>
  <cp:keywords/>
  <dc:description/>
  <cp:lastModifiedBy>Goode, David B.</cp:lastModifiedBy>
  <cp:revision>3</cp:revision>
  <dcterms:created xsi:type="dcterms:W3CDTF">2018-08-02T19:52:00Z</dcterms:created>
  <dcterms:modified xsi:type="dcterms:W3CDTF">2018-08-06T19:35:00Z</dcterms:modified>
</cp:coreProperties>
</file>